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9FB9B" w14:textId="77777777" w:rsidR="00337C39" w:rsidRPr="00155DF6" w:rsidRDefault="00337C39" w:rsidP="00337C39">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eastAsiaTheme="majorEastAsia" w:hAnsi="Arial" w:cs="Arial"/>
          <w:b/>
          <w:bCs/>
          <w:caps/>
          <w:color w:val="000000" w:themeColor="text1"/>
          <w:sz w:val="28"/>
          <w:szCs w:val="32"/>
        </w:rPr>
      </w:pPr>
      <w:r w:rsidRPr="00155DF6">
        <w:rPr>
          <w:rFonts w:ascii="Arial" w:eastAsiaTheme="majorEastAsia" w:hAnsi="Arial" w:cs="Arial"/>
          <w:b/>
          <w:bCs/>
          <w:caps/>
          <w:color w:val="000000" w:themeColor="text1"/>
          <w:sz w:val="28"/>
          <w:szCs w:val="32"/>
        </w:rPr>
        <w:t>Comparison of Durability of Calcium Aluminate and Sulphoaluminate Cements (CAC, CSA and HB-CSA) for Aggressive Environment</w:t>
      </w:r>
    </w:p>
    <w:p w14:paraId="37434332" w14:textId="77777777" w:rsidR="002709B6" w:rsidRPr="00155DF6" w:rsidRDefault="002709B6" w:rsidP="00337C39">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 w:val="28"/>
          <w:szCs w:val="28"/>
        </w:rPr>
      </w:pPr>
    </w:p>
    <w:p w14:paraId="7004CBFB" w14:textId="049DAFD1" w:rsidR="00D27DB3" w:rsidRPr="00155DF6" w:rsidRDefault="00D27DB3" w:rsidP="00D27DB3">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rPr>
          <w:rFonts w:ascii="Arial" w:hAnsi="Arial" w:cs="Arial"/>
        </w:rPr>
      </w:pPr>
      <w:r w:rsidRPr="00155DF6">
        <w:rPr>
          <w:rFonts w:ascii="Arial" w:hAnsi="Arial" w:cs="Arial"/>
          <w:szCs w:val="24"/>
        </w:rPr>
        <w:t>Binwal</w:t>
      </w:r>
      <w:r w:rsidR="007351DA" w:rsidRPr="00155DF6">
        <w:rPr>
          <w:rFonts w:ascii="Arial" w:hAnsi="Arial" w:cs="Arial"/>
          <w:szCs w:val="24"/>
        </w:rPr>
        <w:t xml:space="preserve">*, </w:t>
      </w:r>
      <w:r w:rsidR="00CC2D0B" w:rsidRPr="00155DF6">
        <w:rPr>
          <w:rFonts w:ascii="Arial" w:hAnsi="Arial" w:cs="Arial"/>
          <w:szCs w:val="24"/>
        </w:rPr>
        <w:t>Bishwjeet</w:t>
      </w:r>
      <w:r w:rsidR="007351DA" w:rsidRPr="00155DF6">
        <w:rPr>
          <w:rFonts w:ascii="Arial" w:hAnsi="Arial" w:cs="Arial"/>
          <w:szCs w:val="24"/>
        </w:rPr>
        <w:t xml:space="preserve">, </w:t>
      </w:r>
      <w:r w:rsidR="00247B5E" w:rsidRPr="00155DF6">
        <w:rPr>
          <w:rFonts w:ascii="Arial" w:hAnsi="Arial" w:cs="Arial"/>
        </w:rPr>
        <w:t>School of Chemical and Biomolecular Engineering, The University of Sydney, Australia</w:t>
      </w:r>
      <w:r w:rsidR="007351DA" w:rsidRPr="00155DF6">
        <w:rPr>
          <w:rFonts w:ascii="Arial" w:hAnsi="Arial" w:cs="Arial"/>
          <w:szCs w:val="24"/>
        </w:rPr>
        <w:t xml:space="preserve">; </w:t>
      </w:r>
      <w:r w:rsidR="006C7394" w:rsidRPr="00155DF6">
        <w:rPr>
          <w:rFonts w:ascii="Arial" w:hAnsi="Arial" w:cs="Arial"/>
          <w:szCs w:val="24"/>
        </w:rPr>
        <w:t>Valix</w:t>
      </w:r>
      <w:r w:rsidR="007351DA" w:rsidRPr="00155DF6">
        <w:rPr>
          <w:rFonts w:ascii="Arial" w:hAnsi="Arial" w:cs="Arial"/>
          <w:szCs w:val="24"/>
        </w:rPr>
        <w:t xml:space="preserve">, </w:t>
      </w:r>
      <w:r w:rsidR="006C7394" w:rsidRPr="00155DF6">
        <w:rPr>
          <w:rFonts w:ascii="Arial" w:hAnsi="Arial" w:cs="Arial"/>
          <w:szCs w:val="24"/>
        </w:rPr>
        <w:t>Marjorie</w:t>
      </w:r>
      <w:r w:rsidR="007351DA" w:rsidRPr="00155DF6">
        <w:rPr>
          <w:rFonts w:ascii="Arial" w:hAnsi="Arial" w:cs="Arial"/>
          <w:szCs w:val="24"/>
        </w:rPr>
        <w:t xml:space="preserve">, </w:t>
      </w:r>
      <w:r w:rsidR="006C7394" w:rsidRPr="00155DF6">
        <w:rPr>
          <w:rFonts w:ascii="Arial" w:hAnsi="Arial" w:cs="Arial"/>
        </w:rPr>
        <w:t>School of Chemical and Biomolecular Engineering, The University of Sydney, Australia</w:t>
      </w:r>
    </w:p>
    <w:p w14:paraId="4545E3D5" w14:textId="77777777" w:rsidR="00E0465F" w:rsidRPr="00155DF6" w:rsidRDefault="00E0465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szCs w:val="24"/>
          <w:lang w:val="en-GB"/>
        </w:rPr>
      </w:pPr>
    </w:p>
    <w:p w14:paraId="2336D2CF" w14:textId="1B4B1D1A" w:rsidR="00F7640D" w:rsidRPr="00155DF6" w:rsidRDefault="00F7640D" w:rsidP="008C1519">
      <w:pPr>
        <w:rPr>
          <w:rFonts w:ascii="Arial" w:hAnsi="Arial" w:cs="Arial"/>
        </w:rPr>
      </w:pPr>
      <w:r w:rsidRPr="00155DF6">
        <w:rPr>
          <w:rFonts w:ascii="Arial" w:hAnsi="Arial" w:cs="Arial"/>
          <w:b/>
          <w:bCs/>
        </w:rPr>
        <w:t>Keywords:</w:t>
      </w:r>
      <w:r w:rsidRPr="00155DF6">
        <w:rPr>
          <w:rFonts w:ascii="Arial" w:hAnsi="Arial" w:cs="Arial"/>
        </w:rPr>
        <w:t xml:space="preserve"> </w:t>
      </w:r>
      <w:r w:rsidR="008C1519" w:rsidRPr="00155DF6">
        <w:rPr>
          <w:rFonts w:ascii="Arial" w:hAnsi="Arial" w:cs="Arial"/>
        </w:rPr>
        <w:t xml:space="preserve">CAC, CSA, HB-CSA, Acid resistance, Alkali-silica reactivity </w:t>
      </w:r>
    </w:p>
    <w:p w14:paraId="45C14D6D" w14:textId="77777777" w:rsidR="008C1519" w:rsidRPr="00155DF6" w:rsidRDefault="008C1519" w:rsidP="008C1519">
      <w:pPr>
        <w:rPr>
          <w:rFonts w:ascii="Arial" w:hAnsi="Arial" w:cs="Arial"/>
          <w:szCs w:val="24"/>
          <w:lang w:val="en-GB"/>
        </w:rPr>
      </w:pPr>
    </w:p>
    <w:p w14:paraId="5DEFBBF5" w14:textId="026EFBEB" w:rsidR="007351DA" w:rsidRPr="00155DF6" w:rsidRDefault="007351DA" w:rsidP="00F7640D">
      <w:pPr>
        <w:pStyle w:val="Heading2"/>
        <w:rPr>
          <w:rFonts w:cs="Arial"/>
        </w:rPr>
      </w:pPr>
      <w:r w:rsidRPr="00155DF6">
        <w:rPr>
          <w:rFonts w:cs="Arial"/>
        </w:rPr>
        <w:t>ABSTRACT</w:t>
      </w:r>
    </w:p>
    <w:p w14:paraId="003BAFDC" w14:textId="081F7DDB" w:rsidR="007351DA" w:rsidRPr="00155DF6" w:rsidRDefault="004408BB" w:rsidP="00730E9B">
      <w:pPr>
        <w:pStyle w:val="Legal1"/>
        <w:widowControl/>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rPr>
      </w:pPr>
      <w:r w:rsidRPr="00155DF6">
        <w:rPr>
          <w:rFonts w:ascii="Arial" w:hAnsi="Arial" w:cs="Arial"/>
        </w:rPr>
        <w:t xml:space="preserve">Concrete made with traditional Portland cement in </w:t>
      </w:r>
      <w:r w:rsidR="00A246AB" w:rsidRPr="00155DF6">
        <w:rPr>
          <w:rFonts w:ascii="Arial" w:hAnsi="Arial" w:cs="Arial"/>
        </w:rPr>
        <w:t>sewer</w:t>
      </w:r>
      <w:r w:rsidRPr="00155DF6">
        <w:rPr>
          <w:rFonts w:ascii="Arial" w:hAnsi="Arial" w:cs="Arial"/>
        </w:rPr>
        <w:t xml:space="preserve"> </w:t>
      </w:r>
      <w:r w:rsidR="00147CC0" w:rsidRPr="00155DF6">
        <w:rPr>
          <w:rFonts w:ascii="Arial" w:hAnsi="Arial" w:cs="Arial"/>
        </w:rPr>
        <w:t>environments</w:t>
      </w:r>
      <w:r w:rsidRPr="00155DF6">
        <w:rPr>
          <w:rFonts w:ascii="Arial" w:hAnsi="Arial" w:cs="Arial"/>
        </w:rPr>
        <w:t xml:space="preserve"> is </w:t>
      </w:r>
      <w:r w:rsidR="00147CC0" w:rsidRPr="00155DF6">
        <w:rPr>
          <w:rFonts w:ascii="Arial" w:hAnsi="Arial" w:cs="Arial"/>
        </w:rPr>
        <w:t>highly susceptible to microbiologically induced corrosion, which</w:t>
      </w:r>
      <w:r w:rsidRPr="00155DF6">
        <w:rPr>
          <w:rFonts w:ascii="Arial" w:hAnsi="Arial" w:cs="Arial"/>
        </w:rPr>
        <w:t xml:space="preserve"> leads to deterioration of </w:t>
      </w:r>
      <w:r w:rsidR="00147CC0" w:rsidRPr="00155DF6">
        <w:rPr>
          <w:rFonts w:ascii="Arial" w:hAnsi="Arial" w:cs="Arial"/>
        </w:rPr>
        <w:t xml:space="preserve">concrete </w:t>
      </w:r>
      <w:r w:rsidR="00A246AB" w:rsidRPr="00155DF6">
        <w:rPr>
          <w:rFonts w:ascii="Arial" w:hAnsi="Arial" w:cs="Arial"/>
        </w:rPr>
        <w:t>infrastructure, reducing</w:t>
      </w:r>
      <w:r w:rsidR="00A37B3E" w:rsidRPr="00155DF6">
        <w:rPr>
          <w:rFonts w:ascii="Arial" w:hAnsi="Arial" w:cs="Arial"/>
        </w:rPr>
        <w:t xml:space="preserve"> sewer pipe life and increasing</w:t>
      </w:r>
      <w:r w:rsidRPr="00155DF6">
        <w:rPr>
          <w:rFonts w:ascii="Arial" w:hAnsi="Arial" w:cs="Arial"/>
        </w:rPr>
        <w:t xml:space="preserve"> maintenance and repair costs. This research addresses </w:t>
      </w:r>
      <w:r w:rsidR="00A246AB" w:rsidRPr="00155DF6">
        <w:rPr>
          <w:rFonts w:ascii="Arial" w:hAnsi="Arial" w:cs="Arial"/>
        </w:rPr>
        <w:t xml:space="preserve">the challenge by evaluating the durability of three </w:t>
      </w:r>
      <w:r w:rsidRPr="00155DF6">
        <w:rPr>
          <w:rFonts w:ascii="Arial" w:hAnsi="Arial" w:cs="Arial"/>
        </w:rPr>
        <w:t xml:space="preserve">specialty </w:t>
      </w:r>
      <w:r w:rsidR="00147CC0" w:rsidRPr="00155DF6">
        <w:rPr>
          <w:rFonts w:ascii="Arial" w:hAnsi="Arial" w:cs="Arial"/>
        </w:rPr>
        <w:t>binders</w:t>
      </w:r>
      <w:r w:rsidRPr="00155DF6">
        <w:rPr>
          <w:rFonts w:ascii="Arial" w:hAnsi="Arial" w:cs="Arial"/>
        </w:rPr>
        <w:t xml:space="preserve">: calcium aluminate cement (CAC), calcium sulphoaluminate cement (CSA), and high-belite calcium sulphoaluminate cement (HB-CSA). These materials </w:t>
      </w:r>
      <w:r w:rsidR="00147CC0" w:rsidRPr="00155DF6">
        <w:rPr>
          <w:rFonts w:ascii="Arial" w:hAnsi="Arial" w:cs="Arial"/>
        </w:rPr>
        <w:t xml:space="preserve">were subjected to </w:t>
      </w:r>
      <w:r w:rsidRPr="00155DF6">
        <w:rPr>
          <w:rFonts w:ascii="Arial" w:hAnsi="Arial" w:cs="Arial"/>
        </w:rPr>
        <w:t>durability test</w:t>
      </w:r>
      <w:r w:rsidR="00147CC0" w:rsidRPr="00155DF6">
        <w:rPr>
          <w:rFonts w:ascii="Arial" w:hAnsi="Arial" w:cs="Arial"/>
        </w:rPr>
        <w:t>ing</w:t>
      </w:r>
      <w:r w:rsidRPr="00155DF6">
        <w:rPr>
          <w:rFonts w:ascii="Arial" w:hAnsi="Arial" w:cs="Arial"/>
        </w:rPr>
        <w:t xml:space="preserve"> under conditions </w:t>
      </w:r>
      <w:r w:rsidR="00147CC0" w:rsidRPr="00155DF6">
        <w:rPr>
          <w:rFonts w:ascii="Arial" w:hAnsi="Arial" w:cs="Arial"/>
        </w:rPr>
        <w:t xml:space="preserve">representative of aggressive sewer </w:t>
      </w:r>
      <w:r w:rsidR="00A246AB" w:rsidRPr="00155DF6">
        <w:rPr>
          <w:rFonts w:ascii="Arial" w:hAnsi="Arial" w:cs="Arial"/>
        </w:rPr>
        <w:t>environments utilizing</w:t>
      </w:r>
      <w:r w:rsidR="00147CC0" w:rsidRPr="00155DF6">
        <w:rPr>
          <w:rFonts w:ascii="Arial" w:hAnsi="Arial" w:cs="Arial"/>
        </w:rPr>
        <w:t xml:space="preserve"> using</w:t>
      </w:r>
      <w:r w:rsidRPr="00155DF6">
        <w:rPr>
          <w:rFonts w:ascii="Arial" w:hAnsi="Arial" w:cs="Arial"/>
        </w:rPr>
        <w:t xml:space="preserve"> laboratory-based methodologies. The findings were significant; in accelerated corrosion tests</w:t>
      </w:r>
      <w:r w:rsidR="00A246AB" w:rsidRPr="00155DF6">
        <w:rPr>
          <w:rFonts w:ascii="Arial" w:hAnsi="Arial" w:cs="Arial"/>
        </w:rPr>
        <w:t>,</w:t>
      </w:r>
      <w:r w:rsidRPr="00155DF6">
        <w:rPr>
          <w:rFonts w:ascii="Arial" w:hAnsi="Arial" w:cs="Arial"/>
        </w:rPr>
        <w:t xml:space="preserve"> CAC demonstrated superior performance compared to the other </w:t>
      </w:r>
      <w:r w:rsidR="00147CC0" w:rsidRPr="00155DF6">
        <w:rPr>
          <w:rFonts w:ascii="Arial" w:hAnsi="Arial" w:cs="Arial"/>
        </w:rPr>
        <w:t>binders</w:t>
      </w:r>
      <w:r w:rsidRPr="00155DF6">
        <w:rPr>
          <w:rFonts w:ascii="Arial" w:hAnsi="Arial" w:cs="Arial"/>
        </w:rPr>
        <w:t>. The results indicate that CAC exhibits enhanced durability in acidic environments, significantly outperforming Portland cement</w:t>
      </w:r>
      <w:r w:rsidR="00A33AB5" w:rsidRPr="00155DF6">
        <w:rPr>
          <w:rFonts w:ascii="Arial" w:hAnsi="Arial" w:cs="Arial"/>
        </w:rPr>
        <w:t xml:space="preserve"> systems</w:t>
      </w:r>
      <w:r w:rsidRPr="00155DF6">
        <w:rPr>
          <w:rFonts w:ascii="Arial" w:hAnsi="Arial" w:cs="Arial"/>
        </w:rPr>
        <w:t xml:space="preserve">. </w:t>
      </w:r>
      <w:r w:rsidR="00A33AB5" w:rsidRPr="00155DF6">
        <w:rPr>
          <w:rFonts w:ascii="Arial" w:hAnsi="Arial" w:cs="Arial"/>
        </w:rPr>
        <w:t>CAC forms a dense</w:t>
      </w:r>
      <w:r w:rsidR="00A246AB" w:rsidRPr="00155DF6">
        <w:rPr>
          <w:rFonts w:ascii="Arial" w:hAnsi="Arial" w:cs="Arial"/>
        </w:rPr>
        <w:t>, alumina-rich matrix with hydration products that are more stable</w:t>
      </w:r>
      <w:r w:rsidR="00A33AB5" w:rsidRPr="00155DF6">
        <w:rPr>
          <w:rFonts w:ascii="Arial" w:hAnsi="Arial" w:cs="Arial"/>
        </w:rPr>
        <w:t xml:space="preserve"> in acidic </w:t>
      </w:r>
      <w:r w:rsidR="00A246AB" w:rsidRPr="00155DF6">
        <w:rPr>
          <w:rFonts w:ascii="Arial" w:hAnsi="Arial" w:cs="Arial"/>
        </w:rPr>
        <w:t>environments.</w:t>
      </w:r>
      <w:r w:rsidRPr="00155DF6">
        <w:rPr>
          <w:rFonts w:ascii="Arial" w:hAnsi="Arial" w:cs="Arial"/>
        </w:rPr>
        <w:t xml:space="preserve"> In comparison, HB-CSA provides moderate acid resistance</w:t>
      </w:r>
      <w:r w:rsidR="009F1C67">
        <w:rPr>
          <w:rFonts w:ascii="Arial" w:hAnsi="Arial" w:cs="Arial"/>
        </w:rPr>
        <w:t>, and CSA was the least</w:t>
      </w:r>
      <w:r w:rsidRPr="00155DF6">
        <w:rPr>
          <w:rFonts w:ascii="Arial" w:hAnsi="Arial" w:cs="Arial"/>
        </w:rPr>
        <w:t>. In addition to</w:t>
      </w:r>
      <w:r w:rsidR="00A33AB5" w:rsidRPr="00155DF6">
        <w:rPr>
          <w:rFonts w:ascii="Arial" w:hAnsi="Arial" w:cs="Arial"/>
        </w:rPr>
        <w:t xml:space="preserve"> accelerated corrosion </w:t>
      </w:r>
      <w:r w:rsidR="00A246AB" w:rsidRPr="00155DF6">
        <w:rPr>
          <w:rFonts w:ascii="Arial" w:hAnsi="Arial" w:cs="Arial"/>
        </w:rPr>
        <w:t>testing, sorptivity</w:t>
      </w:r>
      <w:r w:rsidRPr="00155DF6">
        <w:rPr>
          <w:rFonts w:ascii="Arial" w:hAnsi="Arial" w:cs="Arial"/>
        </w:rPr>
        <w:t xml:space="preserve">, compressive strength, alkali-silica reactivity (ASR-AMBT), and water absorption were measured. </w:t>
      </w:r>
      <w:r w:rsidR="00A33AB5" w:rsidRPr="00155DF6">
        <w:rPr>
          <w:rFonts w:ascii="Arial" w:hAnsi="Arial" w:cs="Arial"/>
        </w:rPr>
        <w:t xml:space="preserve">Water absorption values for CAC and HB-CSA were approximately 5%, while CSA exhibited slightly higher values of around 7%. </w:t>
      </w:r>
      <w:r w:rsidRPr="00155DF6">
        <w:rPr>
          <w:rFonts w:ascii="Arial" w:hAnsi="Arial" w:cs="Arial"/>
        </w:rPr>
        <w:t>For sorptivity, all three binder systems</w:t>
      </w:r>
      <w:r w:rsidR="00A33AB5" w:rsidRPr="00155DF6">
        <w:rPr>
          <w:rFonts w:ascii="Arial" w:hAnsi="Arial" w:cs="Arial"/>
          <w:b/>
          <w:bCs/>
        </w:rPr>
        <w:t xml:space="preserve"> </w:t>
      </w:r>
      <w:r w:rsidR="00A33AB5" w:rsidRPr="00155DF6">
        <w:rPr>
          <w:rFonts w:ascii="Arial" w:hAnsi="Arial" w:cs="Arial"/>
        </w:rPr>
        <w:t>recorded values within the &lt;6 mm/√h range, indicating comparable transport properties. Strength development was evaluated at 1 and 28 days for both mortar and concrete specimens.</w:t>
      </w:r>
      <w:r w:rsidRPr="00155DF6">
        <w:rPr>
          <w:rFonts w:ascii="Arial" w:hAnsi="Arial" w:cs="Arial"/>
        </w:rPr>
        <w:t xml:space="preserve"> </w:t>
      </w:r>
    </w:p>
    <w:p w14:paraId="6DAB22CC" w14:textId="77777777" w:rsidR="00B703A7" w:rsidRPr="00155DF6" w:rsidRDefault="00B703A7" w:rsidP="00730E9B">
      <w:pPr>
        <w:pStyle w:val="Legal1"/>
        <w:widowControl/>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b/>
          <w:szCs w:val="24"/>
          <w:lang w:val="en-GB"/>
        </w:rPr>
      </w:pPr>
    </w:p>
    <w:p w14:paraId="42FA6F9C" w14:textId="77777777" w:rsidR="007F639E" w:rsidRPr="00155DF6" w:rsidRDefault="00C379C2" w:rsidP="00F7640D">
      <w:pPr>
        <w:pStyle w:val="Heading2"/>
        <w:rPr>
          <w:rFonts w:cs="Arial"/>
        </w:rPr>
      </w:pPr>
      <w:r w:rsidRPr="00155DF6">
        <w:rPr>
          <w:rFonts w:cs="Arial"/>
        </w:rPr>
        <w:t>INTRODUCTION</w:t>
      </w:r>
      <w:r w:rsidR="00F7640D" w:rsidRPr="00155DF6">
        <w:rPr>
          <w:rFonts w:cs="Arial"/>
        </w:rPr>
        <w:t xml:space="preserve"> | BACKGROUND </w:t>
      </w:r>
    </w:p>
    <w:p w14:paraId="446F03DC" w14:textId="61C003AF" w:rsidR="00564872" w:rsidRPr="00155DF6" w:rsidRDefault="00564872" w:rsidP="00564872">
      <w:pPr>
        <w:jc w:val="both"/>
        <w:rPr>
          <w:rFonts w:ascii="Arial" w:hAnsi="Arial" w:cs="Arial"/>
          <w:lang w:val="en-AU"/>
        </w:rPr>
      </w:pPr>
      <w:r w:rsidRPr="00155DF6">
        <w:rPr>
          <w:rFonts w:ascii="Arial" w:hAnsi="Arial" w:cs="Arial"/>
          <w:lang w:val="en-AU"/>
        </w:rPr>
        <w:t xml:space="preserve">Concrete produced with conventional Portland cement is susceptible to microbiologically induced corrosion (MIC) in sewer environments, where sulphur-oxidising bacteria generate sulphuric acid on concrete surfaces¹–³. This process causes progressive degradation of cementitious materials and reduces the service life of sewer infrastructure. Portland cement systems are particularly vulnerable because calcium-rich hydration products readily dissolve under acidic conditions, accelerating deterioration⁴. Specialty binders such as CAC and CSA have been proposed for aggressive </w:t>
      </w:r>
      <w:r w:rsidRPr="00155DF6">
        <w:rPr>
          <w:rFonts w:ascii="Arial" w:hAnsi="Arial" w:cs="Arial"/>
          <w:lang w:val="en-AU"/>
        </w:rPr>
        <w:lastRenderedPageBreak/>
        <w:t xml:space="preserve">environments due to their distinct hydration chemistry and potential durability advantages⁵–⁷. CAC forms alumina-rich hydrates that exhibit greater resistance to acidic dissolution, whereas CSA produces ettringite-based hydration products that influence both strength development and durability behaviour. CSA and its variants are also increasingly considered as low-carbon alternatives to Portland cement and are widely used in precast applications due to their rapid strength development. HB-CSA binders incorporate belite phases that generate C–S–H during hydration, which may improve matrix densification and durability performance. Despite their growing use in infrastructure applications, the resistance of CSA-based binders to aggressive sewer environments remains insufficiently understood. </w:t>
      </w:r>
      <w:r w:rsidR="009E36A8">
        <w:rPr>
          <w:rFonts w:ascii="Arial" w:hAnsi="Arial" w:cs="Arial"/>
          <w:lang w:val="en-AU"/>
        </w:rPr>
        <w:t>This study, therefore, evaluates the durability behaviour of CAC, CSA,</w:t>
      </w:r>
      <w:r w:rsidRPr="00155DF6">
        <w:rPr>
          <w:rFonts w:ascii="Arial" w:hAnsi="Arial" w:cs="Arial"/>
          <w:lang w:val="en-AU"/>
        </w:rPr>
        <w:t xml:space="preserve"> and HB-CSA binders under conditions representative of corrosive sewer environments, providing a comparative assessment of their performance relative to conventional cement systems.</w:t>
      </w:r>
    </w:p>
    <w:p w14:paraId="23994AD7" w14:textId="77777777" w:rsidR="007F639E" w:rsidRPr="00155DF6" w:rsidRDefault="007F639E" w:rsidP="00F7640D">
      <w:pPr>
        <w:pStyle w:val="Heading2"/>
        <w:rPr>
          <w:rFonts w:cs="Arial"/>
        </w:rPr>
      </w:pPr>
    </w:p>
    <w:p w14:paraId="6B604073" w14:textId="1C988E56" w:rsidR="00943D68" w:rsidRPr="00155DF6" w:rsidRDefault="00F7640D" w:rsidP="00F7640D">
      <w:pPr>
        <w:pStyle w:val="Heading2"/>
        <w:rPr>
          <w:rFonts w:cs="Arial"/>
        </w:rPr>
      </w:pPr>
      <w:r w:rsidRPr="00155DF6">
        <w:rPr>
          <w:rFonts w:cs="Arial"/>
        </w:rPr>
        <w:t>METHODS</w:t>
      </w:r>
    </w:p>
    <w:p w14:paraId="71A3A9C2" w14:textId="2EF070AF" w:rsidR="004C0965" w:rsidRPr="00155DF6" w:rsidRDefault="004C0965" w:rsidP="004C0965">
      <w:pPr>
        <w:tabs>
          <w:tab w:val="left" w:pos="0"/>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szCs w:val="24"/>
          <w:lang w:val="en-AU"/>
        </w:rPr>
      </w:pPr>
      <w:r w:rsidRPr="00155DF6">
        <w:rPr>
          <w:rFonts w:ascii="Arial" w:hAnsi="Arial" w:cs="Arial"/>
          <w:szCs w:val="24"/>
          <w:lang w:val="en-AU"/>
        </w:rPr>
        <w:t>Concrete and mortar specimens were prepared using CAC, CSA and HB-CSA binders, with ordinary Portland cement (OPC) used as a reference. Mixes were designed to achieve comparable workability and strength, allowing durability to be evaluated primarily as a function of binder chemistry.</w:t>
      </w:r>
      <w:r w:rsidR="00564872" w:rsidRPr="00155DF6">
        <w:rPr>
          <w:rFonts w:ascii="Arial" w:hAnsi="Arial" w:cs="Arial"/>
          <w:szCs w:val="24"/>
          <w:lang w:val="en-AU"/>
        </w:rPr>
        <w:t xml:space="preserve"> </w:t>
      </w:r>
      <w:r w:rsidRPr="00155DF6">
        <w:rPr>
          <w:rFonts w:ascii="Arial" w:hAnsi="Arial" w:cs="Arial"/>
          <w:szCs w:val="24"/>
          <w:lang w:val="en-AU"/>
        </w:rPr>
        <w:t>Durability was assessed using accelerated acidic exposure representative of sewer corrosion environments¹–³. Additional indicators included water absorption (</w:t>
      </w:r>
      <w:r w:rsidR="0088071B">
        <w:rPr>
          <w:rFonts w:ascii="Arial" w:hAnsi="Arial" w:cs="Arial"/>
          <w:szCs w:val="24"/>
          <w:lang w:val="en-AU"/>
        </w:rPr>
        <w:t>AS 1012.21), sorptivity (ASTM C1585), compressive strength (</w:t>
      </w:r>
      <w:r w:rsidRPr="0088071B">
        <w:rPr>
          <w:rFonts w:ascii="Arial" w:hAnsi="Arial" w:cs="Arial"/>
          <w:szCs w:val="24"/>
          <w:lang w:val="en-AU"/>
        </w:rPr>
        <w:t>AS 1012.9</w:t>
      </w:r>
      <w:r w:rsidRPr="00155DF6">
        <w:rPr>
          <w:rFonts w:ascii="Arial" w:hAnsi="Arial" w:cs="Arial"/>
          <w:szCs w:val="24"/>
          <w:lang w:val="en-AU"/>
        </w:rPr>
        <w:t>), and alkali–silica reactivity (</w:t>
      </w:r>
      <w:r w:rsidR="0088071B">
        <w:rPr>
          <w:rFonts w:ascii="Arial" w:hAnsi="Arial" w:cs="Arial"/>
          <w:szCs w:val="24"/>
          <w:lang w:val="en-AU"/>
        </w:rPr>
        <w:t>AS 1141.60.1</w:t>
      </w:r>
      <w:r w:rsidRPr="00155DF6">
        <w:rPr>
          <w:rFonts w:ascii="Arial" w:hAnsi="Arial" w:cs="Arial"/>
          <w:szCs w:val="24"/>
          <w:lang w:val="en-AU"/>
        </w:rPr>
        <w:t>).</w:t>
      </w:r>
      <w:r w:rsidR="00564872" w:rsidRPr="00155DF6">
        <w:rPr>
          <w:rFonts w:ascii="Arial" w:hAnsi="Arial" w:cs="Arial"/>
          <w:szCs w:val="24"/>
          <w:lang w:val="en-AU"/>
        </w:rPr>
        <w:t xml:space="preserve"> </w:t>
      </w:r>
      <w:r w:rsidRPr="00155DF6">
        <w:rPr>
          <w:rFonts w:ascii="Arial" w:hAnsi="Arial" w:cs="Arial"/>
          <w:szCs w:val="24"/>
          <w:lang w:val="en-AU"/>
        </w:rPr>
        <w:t xml:space="preserve">Corrosion resistance was determined from </w:t>
      </w:r>
      <w:r w:rsidR="009E36A8">
        <w:rPr>
          <w:rFonts w:ascii="Arial" w:hAnsi="Arial" w:cs="Arial"/>
          <w:szCs w:val="24"/>
          <w:lang w:val="en-AU"/>
        </w:rPr>
        <w:t xml:space="preserve">the </w:t>
      </w:r>
      <w:r w:rsidRPr="00155DF6">
        <w:rPr>
          <w:rFonts w:ascii="Arial" w:hAnsi="Arial" w:cs="Arial"/>
          <w:szCs w:val="24"/>
          <w:lang w:val="en-AU"/>
        </w:rPr>
        <w:t>depth of degradation following acidic exposure, and results were interpreted across five sewer corrosivity classifications (C1–C5) representing increasing environmental severity.</w:t>
      </w:r>
    </w:p>
    <w:p w14:paraId="13FE2128" w14:textId="3FF87AD9" w:rsidR="00102AA9" w:rsidRPr="00FB601F" w:rsidRDefault="00155DF6" w:rsidP="00155DF6">
      <w:pPr>
        <w:pStyle w:val="NormalWeb"/>
        <w:spacing w:before="0" w:beforeAutospacing="0" w:after="0" w:afterAutospacing="0"/>
        <w:jc w:val="center"/>
        <w:rPr>
          <w:rFonts w:ascii="Arial" w:hAnsi="Arial" w:cs="Arial"/>
          <w:b/>
          <w:bCs/>
          <w:sz w:val="28"/>
          <w:szCs w:val="28"/>
        </w:rPr>
      </w:pPr>
      <w:r w:rsidRPr="00FB601F">
        <w:rPr>
          <w:rFonts w:ascii="Arial" w:hAnsi="Arial" w:cs="Arial"/>
          <w:b/>
          <w:bCs/>
          <w:sz w:val="28"/>
          <w:szCs w:val="28"/>
        </w:rPr>
        <w:t>KEY RESULTS AND CONCLUSIONS</w:t>
      </w:r>
    </w:p>
    <w:p w14:paraId="618C2449" w14:textId="2A282EDF" w:rsidR="000150F5" w:rsidRPr="00155DF6" w:rsidRDefault="000150F5" w:rsidP="00A246AB">
      <w:pPr>
        <w:pStyle w:val="NormalWeb"/>
        <w:spacing w:before="0" w:beforeAutospacing="0" w:after="0" w:afterAutospacing="0"/>
        <w:jc w:val="both"/>
        <w:rPr>
          <w:rFonts w:ascii="Arial" w:hAnsi="Arial" w:cs="Arial"/>
        </w:rPr>
      </w:pPr>
      <w:r w:rsidRPr="00155DF6">
        <w:rPr>
          <w:rFonts w:ascii="Arial" w:hAnsi="Arial" w:cs="Arial"/>
        </w:rPr>
        <w:t xml:space="preserve">The results show </w:t>
      </w:r>
      <w:r w:rsidRPr="00155DF6">
        <w:rPr>
          <w:rStyle w:val="Strong"/>
          <w:rFonts w:ascii="Arial" w:hAnsi="Arial" w:cs="Arial"/>
          <w:b w:val="0"/>
          <w:bCs w:val="0"/>
        </w:rPr>
        <w:t>clear differences in fresh properties, strength development, and corrosion resistance between the binder systems</w:t>
      </w:r>
      <w:r w:rsidRPr="00155DF6">
        <w:rPr>
          <w:rFonts w:ascii="Arial" w:hAnsi="Arial" w:cs="Arial"/>
        </w:rPr>
        <w:t xml:space="preserve">. HB-CSA and CSA concretes </w:t>
      </w:r>
      <w:r w:rsidRPr="00155DF6">
        <w:rPr>
          <w:rStyle w:val="Strong"/>
          <w:rFonts w:ascii="Arial" w:hAnsi="Arial" w:cs="Arial"/>
          <w:b w:val="0"/>
          <w:bCs w:val="0"/>
        </w:rPr>
        <w:t>set the fastest</w:t>
      </w:r>
      <w:r w:rsidRPr="00155DF6">
        <w:rPr>
          <w:rFonts w:ascii="Arial" w:hAnsi="Arial" w:cs="Arial"/>
        </w:rPr>
        <w:t xml:space="preserve">, reaching initial set in </w:t>
      </w:r>
      <w:r w:rsidRPr="00155DF6">
        <w:rPr>
          <w:rStyle w:val="Strong"/>
          <w:rFonts w:ascii="Arial" w:hAnsi="Arial" w:cs="Arial"/>
          <w:b w:val="0"/>
          <w:bCs w:val="0"/>
        </w:rPr>
        <w:t>less than 30 minutes at w/c = 0.35</w:t>
      </w:r>
      <w:r w:rsidRPr="00155DF6">
        <w:rPr>
          <w:rFonts w:ascii="Arial" w:hAnsi="Arial" w:cs="Arial"/>
        </w:rPr>
        <w:t xml:space="preserve">, whereas </w:t>
      </w:r>
      <w:r w:rsidRPr="00155DF6">
        <w:rPr>
          <w:rStyle w:val="Strong"/>
          <w:rFonts w:ascii="Arial" w:hAnsi="Arial" w:cs="Arial"/>
          <w:b w:val="0"/>
          <w:bCs w:val="0"/>
        </w:rPr>
        <w:t>CAC remained workable at this ratio</w:t>
      </w:r>
      <w:r w:rsidRPr="00155DF6">
        <w:rPr>
          <w:rFonts w:ascii="Arial" w:hAnsi="Arial" w:cs="Arial"/>
        </w:rPr>
        <w:t xml:space="preserve">. When the w/c ratio was reduced to </w:t>
      </w:r>
      <w:r w:rsidRPr="00155DF6">
        <w:rPr>
          <w:rStyle w:val="Strong"/>
          <w:rFonts w:ascii="Arial" w:hAnsi="Arial" w:cs="Arial"/>
          <w:b w:val="0"/>
          <w:bCs w:val="0"/>
        </w:rPr>
        <w:t>0.30, all binders set within 25–35 minutes</w:t>
      </w:r>
      <w:r w:rsidRPr="00155DF6">
        <w:rPr>
          <w:rFonts w:ascii="Arial" w:hAnsi="Arial" w:cs="Arial"/>
        </w:rPr>
        <w:t xml:space="preserve">. All binders achieved </w:t>
      </w:r>
      <w:r w:rsidRPr="00155DF6">
        <w:rPr>
          <w:rStyle w:val="Strong"/>
          <w:rFonts w:ascii="Arial" w:hAnsi="Arial" w:cs="Arial"/>
          <w:b w:val="0"/>
          <w:bCs w:val="0"/>
        </w:rPr>
        <w:t>compressive strengths greater than 50 MPa at Day-28</w:t>
      </w:r>
      <w:r w:rsidRPr="00155DF6">
        <w:rPr>
          <w:rFonts w:ascii="Arial" w:hAnsi="Arial" w:cs="Arial"/>
        </w:rPr>
        <w:t xml:space="preserve">, with </w:t>
      </w:r>
      <w:r w:rsidRPr="00155DF6">
        <w:rPr>
          <w:rStyle w:val="Strong"/>
          <w:rFonts w:ascii="Arial" w:hAnsi="Arial" w:cs="Arial"/>
          <w:b w:val="0"/>
          <w:bCs w:val="0"/>
        </w:rPr>
        <w:t>CAC exhibiting the highest strength (Figure 1)</w:t>
      </w:r>
      <w:r w:rsidRPr="00155DF6">
        <w:rPr>
          <w:rFonts w:ascii="Arial" w:hAnsi="Arial" w:cs="Arial"/>
        </w:rPr>
        <w:t xml:space="preserve">. Water absorption values for </w:t>
      </w:r>
      <w:r w:rsidRPr="00155DF6">
        <w:rPr>
          <w:rStyle w:val="Strong"/>
          <w:rFonts w:ascii="Arial" w:hAnsi="Arial" w:cs="Arial"/>
          <w:b w:val="0"/>
          <w:bCs w:val="0"/>
        </w:rPr>
        <w:t>CAC and HB-CSA were approximately 5%, while CSA showed slightly higher values (~7%)</w:t>
      </w:r>
      <w:r w:rsidRPr="00155DF6">
        <w:rPr>
          <w:rFonts w:ascii="Arial" w:hAnsi="Arial" w:cs="Arial"/>
        </w:rPr>
        <w:t xml:space="preserve">. Sorptivity results indicated that </w:t>
      </w:r>
      <w:r w:rsidRPr="00155DF6">
        <w:rPr>
          <w:rStyle w:val="Strong"/>
          <w:rFonts w:ascii="Arial" w:hAnsi="Arial" w:cs="Arial"/>
          <w:b w:val="0"/>
          <w:bCs w:val="0"/>
        </w:rPr>
        <w:t>HB-CSA had the lowest absorption behaviour (Figure 2)</w:t>
      </w:r>
      <w:r w:rsidRPr="00155DF6">
        <w:rPr>
          <w:rFonts w:ascii="Arial" w:hAnsi="Arial" w:cs="Arial"/>
        </w:rPr>
        <w:t xml:space="preserve">, and none of the binders showed expansion with reactive sand. Acid exposure tests showed </w:t>
      </w:r>
      <w:r w:rsidRPr="00155DF6">
        <w:rPr>
          <w:rStyle w:val="Strong"/>
          <w:rFonts w:ascii="Arial" w:hAnsi="Arial" w:cs="Arial"/>
          <w:b w:val="0"/>
          <w:bCs w:val="0"/>
        </w:rPr>
        <w:t>similar strength loss for CAC and CSA (55–58%) after 35 days</w:t>
      </w:r>
      <w:r w:rsidRPr="00155DF6">
        <w:rPr>
          <w:rFonts w:ascii="Arial" w:hAnsi="Arial" w:cs="Arial"/>
        </w:rPr>
        <w:t xml:space="preserve">, while </w:t>
      </w:r>
      <w:r w:rsidRPr="00155DF6">
        <w:rPr>
          <w:rStyle w:val="Strong"/>
          <w:rFonts w:ascii="Arial" w:hAnsi="Arial" w:cs="Arial"/>
          <w:b w:val="0"/>
          <w:bCs w:val="0"/>
        </w:rPr>
        <w:t>HB-CSA exhibited lower strength loss (~41%)</w:t>
      </w:r>
      <w:r w:rsidRPr="00155DF6">
        <w:rPr>
          <w:rFonts w:ascii="Arial" w:hAnsi="Arial" w:cs="Arial"/>
        </w:rPr>
        <w:t xml:space="preserve">. However, </w:t>
      </w:r>
      <w:r w:rsidRPr="00155DF6">
        <w:rPr>
          <w:rStyle w:val="Strong"/>
          <w:rFonts w:ascii="Arial" w:hAnsi="Arial" w:cs="Arial"/>
          <w:b w:val="0"/>
          <w:bCs w:val="0"/>
        </w:rPr>
        <w:t>mass loss during acid exposure was lowest for CAC</w:t>
      </w:r>
      <w:r w:rsidRPr="00155DF6">
        <w:rPr>
          <w:rFonts w:ascii="Arial" w:hAnsi="Arial" w:cs="Arial"/>
        </w:rPr>
        <w:t xml:space="preserve">, followed by HB-CSA. Corrosion depth measurements provided the clearest indication of durability. </w:t>
      </w:r>
      <w:r w:rsidRPr="00155DF6">
        <w:rPr>
          <w:rStyle w:val="Strong"/>
          <w:rFonts w:ascii="Arial" w:hAnsi="Arial" w:cs="Arial"/>
          <w:b w:val="0"/>
          <w:bCs w:val="0"/>
        </w:rPr>
        <w:t>CAC showed the lowest acid penetration (7.4 mm)</w:t>
      </w:r>
      <w:r w:rsidRPr="00155DF6">
        <w:rPr>
          <w:rFonts w:ascii="Arial" w:hAnsi="Arial" w:cs="Arial"/>
        </w:rPr>
        <w:t xml:space="preserve">, followed by </w:t>
      </w:r>
      <w:r w:rsidRPr="00155DF6">
        <w:rPr>
          <w:rStyle w:val="Strong"/>
          <w:rFonts w:ascii="Arial" w:hAnsi="Arial" w:cs="Arial"/>
          <w:b w:val="0"/>
          <w:bCs w:val="0"/>
        </w:rPr>
        <w:t>HB-CSA (10.5 mm)</w:t>
      </w:r>
      <w:r w:rsidRPr="00155DF6">
        <w:rPr>
          <w:rFonts w:ascii="Arial" w:hAnsi="Arial" w:cs="Arial"/>
        </w:rPr>
        <w:t xml:space="preserve">, while </w:t>
      </w:r>
      <w:r w:rsidRPr="00155DF6">
        <w:rPr>
          <w:rStyle w:val="Strong"/>
          <w:rFonts w:ascii="Arial" w:hAnsi="Arial" w:cs="Arial"/>
          <w:b w:val="0"/>
          <w:bCs w:val="0"/>
        </w:rPr>
        <w:t>CSA showed the greatest corrosion depth (20.5 mm), exceeding OPC (13.5 mm) (Figure 3)</w:t>
      </w:r>
      <w:r w:rsidRPr="00155DF6">
        <w:rPr>
          <w:rFonts w:ascii="Arial" w:hAnsi="Arial" w:cs="Arial"/>
        </w:rPr>
        <w:t xml:space="preserve">. These differences are attributed to </w:t>
      </w:r>
      <w:r w:rsidRPr="00155DF6">
        <w:rPr>
          <w:rStyle w:val="Strong"/>
          <w:rFonts w:ascii="Arial" w:hAnsi="Arial" w:cs="Arial"/>
          <w:b w:val="0"/>
          <w:bCs w:val="0"/>
        </w:rPr>
        <w:t xml:space="preserve">hydration chemistry and phase </w:t>
      </w:r>
      <w:r w:rsidRPr="00155DF6">
        <w:rPr>
          <w:rStyle w:val="Strong"/>
          <w:rFonts w:ascii="Arial" w:hAnsi="Arial" w:cs="Arial"/>
          <w:b w:val="0"/>
          <w:bCs w:val="0"/>
        </w:rPr>
        <w:lastRenderedPageBreak/>
        <w:t>stability under acidic conditions</w:t>
      </w:r>
      <w:r w:rsidRPr="00155DF6">
        <w:rPr>
          <w:rFonts w:ascii="Arial" w:hAnsi="Arial" w:cs="Arial"/>
        </w:rPr>
        <w:t xml:space="preserve">. </w:t>
      </w:r>
      <w:r w:rsidRPr="00155DF6">
        <w:rPr>
          <w:rStyle w:val="Strong"/>
          <w:rFonts w:ascii="Arial" w:hAnsi="Arial" w:cs="Arial"/>
          <w:b w:val="0"/>
          <w:bCs w:val="0"/>
        </w:rPr>
        <w:t>CAC forms alumina-rich hydrates that remain chemically stable in acidic environments</w:t>
      </w:r>
      <w:r w:rsidRPr="00155DF6">
        <w:rPr>
          <w:rFonts w:ascii="Arial" w:hAnsi="Arial" w:cs="Arial"/>
        </w:rPr>
        <w:t xml:space="preserve">, whereas </w:t>
      </w:r>
      <w:r w:rsidRPr="00155DF6">
        <w:rPr>
          <w:rStyle w:val="Strong"/>
          <w:rFonts w:ascii="Arial" w:hAnsi="Arial" w:cs="Arial"/>
          <w:b w:val="0"/>
          <w:bCs w:val="0"/>
        </w:rPr>
        <w:t>CSA systems contain ettringite phases that dissolve under low-pH conditions</w:t>
      </w:r>
      <w:r w:rsidRPr="00155DF6">
        <w:rPr>
          <w:rFonts w:ascii="Arial" w:hAnsi="Arial" w:cs="Arial"/>
        </w:rPr>
        <w:t xml:space="preserve">, </w:t>
      </w:r>
      <w:r w:rsidR="00102AA9" w:rsidRPr="00155DF6">
        <w:rPr>
          <w:rFonts w:ascii="Arial" w:hAnsi="Arial" w:cs="Arial"/>
        </w:rPr>
        <w:t>thereby increasing</w:t>
      </w:r>
      <w:r w:rsidRPr="00155DF6">
        <w:rPr>
          <w:rFonts w:ascii="Arial" w:hAnsi="Arial" w:cs="Arial"/>
        </w:rPr>
        <w:t xml:space="preserve"> degradation²˒⁵. </w:t>
      </w:r>
      <w:r w:rsidRPr="00155DF6">
        <w:rPr>
          <w:rStyle w:val="Strong"/>
          <w:rFonts w:ascii="Arial" w:hAnsi="Arial" w:cs="Arial"/>
          <w:b w:val="0"/>
          <w:bCs w:val="0"/>
        </w:rPr>
        <w:t>HB-CSA contains both ettringite and belite-derived C–S–H phases</w:t>
      </w:r>
      <w:r w:rsidRPr="00155DF6">
        <w:rPr>
          <w:rFonts w:ascii="Arial" w:hAnsi="Arial" w:cs="Arial"/>
        </w:rPr>
        <w:t xml:space="preserve">, resulting in intermediate durability. Overall, the results indicate that </w:t>
      </w:r>
      <w:r w:rsidRPr="00155DF6">
        <w:rPr>
          <w:rStyle w:val="Strong"/>
          <w:rFonts w:ascii="Arial" w:hAnsi="Arial" w:cs="Arial"/>
          <w:b w:val="0"/>
          <w:bCs w:val="0"/>
        </w:rPr>
        <w:t>binder chemistry controls durability in aggressive sewer environments affected by microbiologically induced corrosion</w:t>
      </w:r>
      <w:r w:rsidRPr="00155DF6">
        <w:rPr>
          <w:rFonts w:ascii="Arial" w:hAnsi="Arial" w:cs="Arial"/>
        </w:rPr>
        <w:t xml:space="preserve">¹–³, with </w:t>
      </w:r>
      <w:r w:rsidRPr="00155DF6">
        <w:rPr>
          <w:rStyle w:val="Strong"/>
          <w:rFonts w:ascii="Arial" w:hAnsi="Arial" w:cs="Arial"/>
          <w:b w:val="0"/>
          <w:bCs w:val="0"/>
        </w:rPr>
        <w:t>CAC showing the greatest resistance to acid corrosion</w:t>
      </w:r>
      <w:r w:rsidRPr="00155DF6">
        <w:rPr>
          <w:rFonts w:ascii="Arial" w:hAnsi="Arial" w:cs="Arial"/>
        </w:rPr>
        <w:t>.</w:t>
      </w:r>
    </w:p>
    <w:p w14:paraId="38D1A5F0" w14:textId="2B994462" w:rsidR="007F639E" w:rsidRPr="00155DF6" w:rsidRDefault="0062191F" w:rsidP="00CE7CA4">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szCs w:val="24"/>
          <w:lang w:val="en-GB"/>
        </w:rPr>
      </w:pPr>
      <w:r w:rsidRPr="00155DF6">
        <w:rPr>
          <w:rFonts w:ascii="Arial" w:hAnsi="Arial" w:cs="Arial"/>
          <w:szCs w:val="24"/>
          <w:lang w:val="en-GB"/>
        </w:rPr>
        <w:t xml:space="preserve"> </w:t>
      </w:r>
      <w:r w:rsidRPr="00155DF6">
        <w:rPr>
          <w:rFonts w:ascii="Arial" w:hAnsi="Arial" w:cs="Arial"/>
          <w:szCs w:val="24"/>
          <w:lang w:val="en-GB"/>
        </w:rPr>
        <w:br/>
      </w:r>
      <w:r w:rsidR="007F639E" w:rsidRPr="00155DF6">
        <w:rPr>
          <w:rFonts w:ascii="Arial" w:hAnsi="Arial" w:cs="Arial"/>
          <w:szCs w:val="24"/>
          <w:lang w:val="en-GB"/>
        </w:rPr>
        <w:t xml:space="preserve"> </w:t>
      </w:r>
      <w:r w:rsidR="00C8480F" w:rsidRPr="00155DF6">
        <w:rPr>
          <w:rFonts w:ascii="Arial" w:hAnsi="Arial" w:cs="Arial"/>
          <w:sz w:val="22"/>
          <w:szCs w:val="22"/>
          <w:lang w:val="en-GB"/>
        </w:rPr>
        <w:t xml:space="preserve">Table 1. </w:t>
      </w:r>
      <w:r w:rsidR="000150F5" w:rsidRPr="00155DF6">
        <w:rPr>
          <w:rFonts w:ascii="Arial" w:hAnsi="Arial" w:cs="Arial"/>
          <w:sz w:val="22"/>
          <w:szCs w:val="22"/>
        </w:rPr>
        <w:t>Comparison of water absorption for CAC, CSA, and HB-CSA concretes</w:t>
      </w:r>
      <w:r w:rsidR="00840226" w:rsidRPr="00155DF6">
        <w:rPr>
          <w:rFonts w:ascii="Arial" w:hAnsi="Arial" w:cs="Arial"/>
          <w:szCs w:val="24"/>
        </w:rPr>
        <w:t xml:space="preserve"> </w:t>
      </w:r>
    </w:p>
    <w:tbl>
      <w:tblPr>
        <w:tblStyle w:val="TableGrid"/>
        <w:tblW w:w="0" w:type="auto"/>
        <w:jc w:val="center"/>
        <w:tblLook w:val="0600" w:firstRow="0" w:lastRow="0" w:firstColumn="0" w:lastColumn="0" w:noHBand="1" w:noVBand="1"/>
      </w:tblPr>
      <w:tblGrid>
        <w:gridCol w:w="994"/>
        <w:gridCol w:w="2972"/>
        <w:gridCol w:w="2705"/>
      </w:tblGrid>
      <w:tr w:rsidR="00B36BF1" w:rsidRPr="00155DF6" w14:paraId="39FAADED" w14:textId="77777777" w:rsidTr="00C8480F">
        <w:trPr>
          <w:trHeight w:val="20"/>
          <w:jc w:val="center"/>
        </w:trPr>
        <w:tc>
          <w:tcPr>
            <w:tcW w:w="0" w:type="auto"/>
            <w:vAlign w:val="center"/>
            <w:hideMark/>
          </w:tcPr>
          <w:p w14:paraId="38D8ED69" w14:textId="3A12B283" w:rsidR="00B36BF1" w:rsidRPr="00155DF6" w:rsidRDefault="00B36BF1" w:rsidP="003716E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b/>
                <w:bCs/>
                <w:sz w:val="20"/>
                <w:lang w:val="en-AU"/>
              </w:rPr>
            </w:pPr>
            <w:r w:rsidRPr="00155DF6">
              <w:rPr>
                <w:rFonts w:ascii="Arial" w:hAnsi="Arial" w:cs="Arial"/>
                <w:b/>
                <w:bCs/>
                <w:sz w:val="20"/>
                <w:lang w:val="en-AU"/>
              </w:rPr>
              <w:t>Binders</w:t>
            </w:r>
          </w:p>
        </w:tc>
        <w:tc>
          <w:tcPr>
            <w:tcW w:w="0" w:type="auto"/>
            <w:vAlign w:val="center"/>
            <w:hideMark/>
          </w:tcPr>
          <w:p w14:paraId="4B3236EE" w14:textId="045088F3" w:rsidR="00B36BF1" w:rsidRPr="00155DF6" w:rsidRDefault="00B36BF1" w:rsidP="003716E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b/>
                <w:bCs/>
                <w:sz w:val="20"/>
                <w:lang w:val="en-AU"/>
              </w:rPr>
            </w:pPr>
            <w:r w:rsidRPr="00155DF6">
              <w:rPr>
                <w:rFonts w:ascii="Arial" w:hAnsi="Arial" w:cs="Arial"/>
                <w:b/>
                <w:bCs/>
                <w:sz w:val="20"/>
                <w:lang w:val="en-AU"/>
              </w:rPr>
              <w:t>Immersed Absorption</w:t>
            </w:r>
            <w:r w:rsidR="003716EA" w:rsidRPr="00155DF6">
              <w:rPr>
                <w:rFonts w:ascii="Arial" w:hAnsi="Arial" w:cs="Arial"/>
                <w:b/>
                <w:bCs/>
                <w:sz w:val="20"/>
                <w:lang w:val="en-AU"/>
              </w:rPr>
              <w:t xml:space="preserve">; </w:t>
            </w:r>
            <w:r w:rsidRPr="00155DF6">
              <w:rPr>
                <w:rFonts w:ascii="Arial" w:hAnsi="Arial" w:cs="Arial"/>
                <w:b/>
                <w:bCs/>
                <w:sz w:val="20"/>
                <w:lang w:val="en-AU"/>
              </w:rPr>
              <w:t>Ai (%)</w:t>
            </w:r>
          </w:p>
        </w:tc>
        <w:tc>
          <w:tcPr>
            <w:tcW w:w="0" w:type="auto"/>
            <w:vAlign w:val="center"/>
            <w:hideMark/>
          </w:tcPr>
          <w:p w14:paraId="174FA1FD" w14:textId="35CF2408" w:rsidR="00B36BF1" w:rsidRPr="00155DF6" w:rsidRDefault="00B36BF1" w:rsidP="003716E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b/>
                <w:bCs/>
                <w:sz w:val="20"/>
                <w:lang w:val="en-AU"/>
              </w:rPr>
            </w:pPr>
            <w:r w:rsidRPr="00155DF6">
              <w:rPr>
                <w:rFonts w:ascii="Arial" w:hAnsi="Arial" w:cs="Arial"/>
                <w:b/>
                <w:bCs/>
                <w:sz w:val="20"/>
                <w:lang w:val="en-AU"/>
              </w:rPr>
              <w:t>Boiled Absorption</w:t>
            </w:r>
            <w:r w:rsidR="003716EA" w:rsidRPr="00155DF6">
              <w:rPr>
                <w:rFonts w:ascii="Arial" w:hAnsi="Arial" w:cs="Arial"/>
                <w:b/>
                <w:bCs/>
                <w:sz w:val="20"/>
                <w:lang w:val="en-AU"/>
              </w:rPr>
              <w:t xml:space="preserve">; </w:t>
            </w:r>
            <w:r w:rsidRPr="00155DF6">
              <w:rPr>
                <w:rFonts w:ascii="Arial" w:hAnsi="Arial" w:cs="Arial"/>
                <w:b/>
                <w:bCs/>
                <w:sz w:val="20"/>
                <w:lang w:val="en-AU"/>
              </w:rPr>
              <w:t>Ab (%)</w:t>
            </w:r>
          </w:p>
        </w:tc>
      </w:tr>
      <w:tr w:rsidR="00B36BF1" w:rsidRPr="00155DF6" w14:paraId="19B0C01F" w14:textId="77777777" w:rsidTr="00C8480F">
        <w:trPr>
          <w:trHeight w:val="20"/>
          <w:jc w:val="center"/>
        </w:trPr>
        <w:tc>
          <w:tcPr>
            <w:tcW w:w="0" w:type="auto"/>
            <w:vAlign w:val="center"/>
            <w:hideMark/>
          </w:tcPr>
          <w:p w14:paraId="60EF2AA6" w14:textId="77777777" w:rsidR="00B36BF1" w:rsidRPr="00155DF6" w:rsidRDefault="00B36BF1" w:rsidP="003716E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b/>
                <w:bCs/>
                <w:sz w:val="20"/>
                <w:lang w:val="en-AU"/>
              </w:rPr>
            </w:pPr>
            <w:r w:rsidRPr="00155DF6">
              <w:rPr>
                <w:rFonts w:ascii="Arial" w:hAnsi="Arial" w:cs="Arial"/>
                <w:b/>
                <w:bCs/>
                <w:sz w:val="20"/>
                <w:lang w:val="en-AU"/>
              </w:rPr>
              <w:t>CAC</w:t>
            </w:r>
          </w:p>
        </w:tc>
        <w:tc>
          <w:tcPr>
            <w:tcW w:w="0" w:type="auto"/>
            <w:vAlign w:val="center"/>
            <w:hideMark/>
          </w:tcPr>
          <w:p w14:paraId="5243FC11" w14:textId="77777777" w:rsidR="00B36BF1" w:rsidRPr="00155DF6" w:rsidRDefault="00B36BF1" w:rsidP="003716E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 w:val="20"/>
                <w:lang w:val="en-AU"/>
              </w:rPr>
            </w:pPr>
            <w:r w:rsidRPr="00155DF6">
              <w:rPr>
                <w:rFonts w:ascii="Arial" w:hAnsi="Arial" w:cs="Arial"/>
                <w:sz w:val="20"/>
                <w:lang w:val="en-AU"/>
              </w:rPr>
              <w:t>5.06 ± 0.02</w:t>
            </w:r>
          </w:p>
        </w:tc>
        <w:tc>
          <w:tcPr>
            <w:tcW w:w="0" w:type="auto"/>
            <w:vAlign w:val="center"/>
            <w:hideMark/>
          </w:tcPr>
          <w:p w14:paraId="152A093F" w14:textId="77777777" w:rsidR="00B36BF1" w:rsidRPr="00155DF6" w:rsidRDefault="00B36BF1" w:rsidP="003716E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 w:val="20"/>
                <w:lang w:val="en-AU"/>
              </w:rPr>
            </w:pPr>
            <w:r w:rsidRPr="00155DF6">
              <w:rPr>
                <w:rFonts w:ascii="Arial" w:hAnsi="Arial" w:cs="Arial"/>
                <w:sz w:val="20"/>
                <w:lang w:val="en-AU"/>
              </w:rPr>
              <w:t>5.43 ± 0.01</w:t>
            </w:r>
          </w:p>
        </w:tc>
      </w:tr>
      <w:tr w:rsidR="00B36BF1" w:rsidRPr="00155DF6" w14:paraId="130BA9F9" w14:textId="77777777" w:rsidTr="00C8480F">
        <w:trPr>
          <w:trHeight w:val="20"/>
          <w:jc w:val="center"/>
        </w:trPr>
        <w:tc>
          <w:tcPr>
            <w:tcW w:w="0" w:type="auto"/>
            <w:vAlign w:val="center"/>
            <w:hideMark/>
          </w:tcPr>
          <w:p w14:paraId="2CC7348A" w14:textId="77777777" w:rsidR="00B36BF1" w:rsidRPr="00155DF6" w:rsidRDefault="00B36BF1" w:rsidP="003716E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b/>
                <w:bCs/>
                <w:sz w:val="20"/>
                <w:lang w:val="en-AU"/>
              </w:rPr>
            </w:pPr>
            <w:r w:rsidRPr="00155DF6">
              <w:rPr>
                <w:rFonts w:ascii="Arial" w:hAnsi="Arial" w:cs="Arial"/>
                <w:b/>
                <w:bCs/>
                <w:sz w:val="20"/>
                <w:lang w:val="en-AU"/>
              </w:rPr>
              <w:t>CSA</w:t>
            </w:r>
          </w:p>
        </w:tc>
        <w:tc>
          <w:tcPr>
            <w:tcW w:w="0" w:type="auto"/>
            <w:vAlign w:val="center"/>
            <w:hideMark/>
          </w:tcPr>
          <w:p w14:paraId="71374C59" w14:textId="77777777" w:rsidR="00B36BF1" w:rsidRPr="00155DF6" w:rsidRDefault="00B36BF1" w:rsidP="003716E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 w:val="20"/>
                <w:lang w:val="en-AU"/>
              </w:rPr>
            </w:pPr>
            <w:r w:rsidRPr="00155DF6">
              <w:rPr>
                <w:rFonts w:ascii="Arial" w:hAnsi="Arial" w:cs="Arial"/>
                <w:sz w:val="20"/>
                <w:lang w:val="en-AU"/>
              </w:rPr>
              <w:t>7.19 ± 0.07</w:t>
            </w:r>
          </w:p>
        </w:tc>
        <w:tc>
          <w:tcPr>
            <w:tcW w:w="0" w:type="auto"/>
            <w:vAlign w:val="center"/>
            <w:hideMark/>
          </w:tcPr>
          <w:p w14:paraId="7178F7B4" w14:textId="77777777" w:rsidR="00B36BF1" w:rsidRPr="00155DF6" w:rsidRDefault="00B36BF1" w:rsidP="003716E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 w:val="20"/>
                <w:lang w:val="en-AU"/>
              </w:rPr>
            </w:pPr>
            <w:r w:rsidRPr="00155DF6">
              <w:rPr>
                <w:rFonts w:ascii="Arial" w:hAnsi="Arial" w:cs="Arial"/>
                <w:sz w:val="20"/>
                <w:lang w:val="en-AU"/>
              </w:rPr>
              <w:t>7.26 ± 0.07</w:t>
            </w:r>
          </w:p>
        </w:tc>
      </w:tr>
      <w:tr w:rsidR="00B36BF1" w:rsidRPr="00155DF6" w14:paraId="34D4383F" w14:textId="77777777" w:rsidTr="00C8480F">
        <w:trPr>
          <w:trHeight w:val="20"/>
          <w:jc w:val="center"/>
        </w:trPr>
        <w:tc>
          <w:tcPr>
            <w:tcW w:w="0" w:type="auto"/>
            <w:vAlign w:val="center"/>
            <w:hideMark/>
          </w:tcPr>
          <w:p w14:paraId="41847E23" w14:textId="77777777" w:rsidR="00B36BF1" w:rsidRPr="00155DF6" w:rsidRDefault="00B36BF1" w:rsidP="003716E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b/>
                <w:bCs/>
                <w:sz w:val="20"/>
                <w:lang w:val="en-AU"/>
              </w:rPr>
            </w:pPr>
            <w:r w:rsidRPr="00155DF6">
              <w:rPr>
                <w:rFonts w:ascii="Arial" w:hAnsi="Arial" w:cs="Arial"/>
                <w:b/>
                <w:bCs/>
                <w:sz w:val="20"/>
                <w:lang w:val="en-AU"/>
              </w:rPr>
              <w:t>HB-CSA</w:t>
            </w:r>
          </w:p>
        </w:tc>
        <w:tc>
          <w:tcPr>
            <w:tcW w:w="0" w:type="auto"/>
            <w:vAlign w:val="center"/>
            <w:hideMark/>
          </w:tcPr>
          <w:p w14:paraId="12E7E5E6" w14:textId="77777777" w:rsidR="00B36BF1" w:rsidRPr="00155DF6" w:rsidRDefault="00B36BF1" w:rsidP="003716E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 w:val="20"/>
                <w:lang w:val="en-AU"/>
              </w:rPr>
            </w:pPr>
            <w:r w:rsidRPr="00155DF6">
              <w:rPr>
                <w:rFonts w:ascii="Arial" w:hAnsi="Arial" w:cs="Arial"/>
                <w:sz w:val="20"/>
                <w:lang w:val="en-AU"/>
              </w:rPr>
              <w:t>5.75 ± 0.07</w:t>
            </w:r>
          </w:p>
        </w:tc>
        <w:tc>
          <w:tcPr>
            <w:tcW w:w="0" w:type="auto"/>
            <w:vAlign w:val="center"/>
            <w:hideMark/>
          </w:tcPr>
          <w:p w14:paraId="656B7295" w14:textId="77777777" w:rsidR="00B36BF1" w:rsidRPr="00155DF6" w:rsidRDefault="00B36BF1" w:rsidP="003716E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 w:val="20"/>
                <w:lang w:val="en-AU"/>
              </w:rPr>
            </w:pPr>
            <w:r w:rsidRPr="00155DF6">
              <w:rPr>
                <w:rFonts w:ascii="Arial" w:hAnsi="Arial" w:cs="Arial"/>
                <w:sz w:val="20"/>
                <w:lang w:val="en-AU"/>
              </w:rPr>
              <w:t>5.78 ± 0.07</w:t>
            </w:r>
          </w:p>
        </w:tc>
      </w:tr>
    </w:tbl>
    <w:p w14:paraId="34DBB192" w14:textId="77777777" w:rsidR="007F639E" w:rsidRPr="00155DF6" w:rsidRDefault="007F639E" w:rsidP="00055962">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szCs w:val="24"/>
          <w:highlight w:val="yellow"/>
          <w:lang w:val="en-GB"/>
        </w:rPr>
      </w:pPr>
    </w:p>
    <w:p w14:paraId="60620B19" w14:textId="77777777" w:rsidR="007F639E" w:rsidRPr="00155DF6" w:rsidRDefault="007F639E" w:rsidP="00055962">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szCs w:val="24"/>
          <w:highlight w:val="yellow"/>
          <w:lang w:val="en-GB"/>
        </w:rPr>
      </w:pPr>
    </w:p>
    <w:p w14:paraId="15EEDE3B" w14:textId="77777777" w:rsidR="002070E3" w:rsidRPr="00155DF6" w:rsidRDefault="000651FF" w:rsidP="002070E3">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lang w:val="en-GB"/>
        </w:rPr>
      </w:pPr>
      <w:r w:rsidRPr="00155DF6">
        <w:rPr>
          <w:rFonts w:ascii="Arial" w:hAnsi="Arial" w:cs="Arial"/>
          <w:noProof/>
          <w:szCs w:val="24"/>
          <w:lang w:val="en-GB"/>
        </w:rPr>
        <w:drawing>
          <wp:inline distT="0" distB="0" distL="0" distR="0" wp14:anchorId="40DA1304" wp14:editId="008A88E5">
            <wp:extent cx="4320000" cy="2337300"/>
            <wp:effectExtent l="0" t="0" r="4445" b="6350"/>
            <wp:docPr id="1822684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684572" name="Picture 1822684572"/>
                    <pic:cNvPicPr/>
                  </pic:nvPicPr>
                  <pic:blipFill>
                    <a:blip r:embed="rId8"/>
                    <a:stretch>
                      <a:fillRect/>
                    </a:stretch>
                  </pic:blipFill>
                  <pic:spPr>
                    <a:xfrm>
                      <a:off x="0" y="0"/>
                      <a:ext cx="4320000" cy="2337300"/>
                    </a:xfrm>
                    <a:prstGeom prst="rect">
                      <a:avLst/>
                    </a:prstGeom>
                  </pic:spPr>
                </pic:pic>
              </a:graphicData>
            </a:graphic>
          </wp:inline>
        </w:drawing>
      </w:r>
    </w:p>
    <w:p w14:paraId="0325789A" w14:textId="7E87E97B" w:rsidR="00936DEE" w:rsidRPr="00155DF6" w:rsidRDefault="002070E3" w:rsidP="00936DEE">
      <w:pPr>
        <w:pStyle w:val="Caption"/>
        <w:rPr>
          <w:szCs w:val="24"/>
        </w:rPr>
      </w:pPr>
      <w:r w:rsidRPr="00155DF6">
        <w:rPr>
          <w:szCs w:val="24"/>
        </w:rPr>
        <w:t xml:space="preserve">Figure </w:t>
      </w:r>
      <w:r w:rsidRPr="00155DF6">
        <w:rPr>
          <w:szCs w:val="24"/>
        </w:rPr>
        <w:fldChar w:fldCharType="begin"/>
      </w:r>
      <w:r w:rsidRPr="00155DF6">
        <w:rPr>
          <w:szCs w:val="24"/>
        </w:rPr>
        <w:instrText xml:space="preserve"> SEQ Figure \* ARABIC </w:instrText>
      </w:r>
      <w:r w:rsidRPr="00155DF6">
        <w:rPr>
          <w:szCs w:val="24"/>
        </w:rPr>
        <w:fldChar w:fldCharType="separate"/>
      </w:r>
      <w:r w:rsidRPr="00155DF6">
        <w:rPr>
          <w:noProof/>
          <w:szCs w:val="24"/>
        </w:rPr>
        <w:t>1</w:t>
      </w:r>
      <w:r w:rsidRPr="00155DF6">
        <w:rPr>
          <w:szCs w:val="24"/>
        </w:rPr>
        <w:fldChar w:fldCharType="end"/>
      </w:r>
      <w:r w:rsidRPr="00155DF6">
        <w:rPr>
          <w:szCs w:val="24"/>
        </w:rPr>
        <w:t>.</w:t>
      </w:r>
      <w:r w:rsidR="00936DEE" w:rsidRPr="00155DF6">
        <w:rPr>
          <w:szCs w:val="24"/>
        </w:rPr>
        <w:t xml:space="preserve"> </w:t>
      </w:r>
      <w:r w:rsidRPr="00155DF6">
        <w:rPr>
          <w:szCs w:val="24"/>
        </w:rPr>
        <w:t xml:space="preserve">Strength </w:t>
      </w:r>
      <w:r w:rsidR="00936DEE" w:rsidRPr="00155DF6">
        <w:rPr>
          <w:szCs w:val="24"/>
        </w:rPr>
        <w:t>comparison of CAC, CSA and HB-CSA with OPC at Day-1 and Day-28</w:t>
      </w:r>
    </w:p>
    <w:p w14:paraId="3E0711D7" w14:textId="7A82B34D" w:rsidR="00C12655" w:rsidRPr="00155DF6" w:rsidRDefault="00DC508C" w:rsidP="00936DEE">
      <w:pPr>
        <w:pStyle w:val="Caption"/>
        <w:rPr>
          <w:szCs w:val="24"/>
          <w:highlight w:val="yellow"/>
          <w:lang w:val="en-GB"/>
        </w:rPr>
      </w:pPr>
      <w:r w:rsidRPr="00155DF6">
        <w:rPr>
          <w:noProof/>
          <w:szCs w:val="24"/>
          <w:lang w:val="en-GB"/>
        </w:rPr>
        <w:drawing>
          <wp:inline distT="0" distB="0" distL="0" distR="0" wp14:anchorId="5D00037C" wp14:editId="1716E2BD">
            <wp:extent cx="4320000" cy="2513237"/>
            <wp:effectExtent l="0" t="0" r="4445" b="1905"/>
            <wp:docPr id="3517748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774845" name="Picture 351774845"/>
                    <pic:cNvPicPr/>
                  </pic:nvPicPr>
                  <pic:blipFill>
                    <a:blip r:embed="rId9"/>
                    <a:stretch>
                      <a:fillRect/>
                    </a:stretch>
                  </pic:blipFill>
                  <pic:spPr>
                    <a:xfrm>
                      <a:off x="0" y="0"/>
                      <a:ext cx="4320000" cy="2513237"/>
                    </a:xfrm>
                    <a:prstGeom prst="rect">
                      <a:avLst/>
                    </a:prstGeom>
                  </pic:spPr>
                </pic:pic>
              </a:graphicData>
            </a:graphic>
          </wp:inline>
        </w:drawing>
      </w:r>
    </w:p>
    <w:p w14:paraId="03B15137" w14:textId="1031ABF3" w:rsidR="002800FA" w:rsidRPr="00155DF6" w:rsidRDefault="002800FA" w:rsidP="002800FA">
      <w:pPr>
        <w:pStyle w:val="Caption"/>
        <w:rPr>
          <w:szCs w:val="24"/>
        </w:rPr>
      </w:pPr>
      <w:r w:rsidRPr="00155DF6">
        <w:rPr>
          <w:szCs w:val="24"/>
        </w:rPr>
        <w:t xml:space="preserve">Figure </w:t>
      </w:r>
      <w:r w:rsidR="00DC6627" w:rsidRPr="00155DF6">
        <w:rPr>
          <w:szCs w:val="24"/>
        </w:rPr>
        <w:t>2</w:t>
      </w:r>
      <w:r w:rsidRPr="00155DF6">
        <w:rPr>
          <w:szCs w:val="24"/>
        </w:rPr>
        <w:t xml:space="preserve">.  Initial and </w:t>
      </w:r>
      <w:r w:rsidR="00B43DD0" w:rsidRPr="00155DF6">
        <w:rPr>
          <w:szCs w:val="24"/>
        </w:rPr>
        <w:t>s</w:t>
      </w:r>
      <w:r w:rsidRPr="00155DF6">
        <w:rPr>
          <w:szCs w:val="24"/>
        </w:rPr>
        <w:t xml:space="preserve">econdary </w:t>
      </w:r>
      <w:r w:rsidR="00B43DD0" w:rsidRPr="00155DF6">
        <w:rPr>
          <w:szCs w:val="24"/>
        </w:rPr>
        <w:t>a</w:t>
      </w:r>
      <w:r w:rsidRPr="00155DF6">
        <w:rPr>
          <w:szCs w:val="24"/>
        </w:rPr>
        <w:t xml:space="preserve">bsorption of </w:t>
      </w:r>
      <w:r w:rsidR="00B43DD0" w:rsidRPr="00155DF6">
        <w:rPr>
          <w:szCs w:val="24"/>
        </w:rPr>
        <w:t>CAC, CSA and HB-CSA</w:t>
      </w:r>
    </w:p>
    <w:p w14:paraId="4CBCD7D8" w14:textId="77777777" w:rsidR="002800FA" w:rsidRPr="00155DF6" w:rsidRDefault="002800FA" w:rsidP="00055962">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szCs w:val="24"/>
          <w:highlight w:val="yellow"/>
          <w:lang w:val="en-GB"/>
        </w:rPr>
      </w:pPr>
    </w:p>
    <w:p w14:paraId="7BCDA8BB" w14:textId="3A42F3F8" w:rsidR="00406B92" w:rsidRPr="00155DF6" w:rsidRDefault="00406B92" w:rsidP="002070E3">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highlight w:val="yellow"/>
          <w:lang w:val="en-GB"/>
        </w:rPr>
      </w:pPr>
      <w:r w:rsidRPr="00155DF6">
        <w:rPr>
          <w:rFonts w:ascii="Arial" w:hAnsi="Arial" w:cs="Arial"/>
          <w:noProof/>
          <w:szCs w:val="24"/>
          <w:lang w:val="en-GB"/>
        </w:rPr>
        <w:lastRenderedPageBreak/>
        <w:drawing>
          <wp:inline distT="0" distB="0" distL="0" distR="0" wp14:anchorId="35963368" wp14:editId="6F19D915">
            <wp:extent cx="4320000" cy="2440247"/>
            <wp:effectExtent l="0" t="0" r="4445" b="0"/>
            <wp:docPr id="19882466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246609" name="Picture 1988246609"/>
                    <pic:cNvPicPr/>
                  </pic:nvPicPr>
                  <pic:blipFill>
                    <a:blip r:embed="rId10"/>
                    <a:stretch>
                      <a:fillRect/>
                    </a:stretch>
                  </pic:blipFill>
                  <pic:spPr>
                    <a:xfrm>
                      <a:off x="0" y="0"/>
                      <a:ext cx="4320000" cy="2440247"/>
                    </a:xfrm>
                    <a:prstGeom prst="rect">
                      <a:avLst/>
                    </a:prstGeom>
                  </pic:spPr>
                </pic:pic>
              </a:graphicData>
            </a:graphic>
          </wp:inline>
        </w:drawing>
      </w:r>
    </w:p>
    <w:p w14:paraId="56C06AA7" w14:textId="31E127DD" w:rsidR="00A50BFD" w:rsidRPr="00155DF6" w:rsidRDefault="00406B92" w:rsidP="005F4BFD">
      <w:pPr>
        <w:pStyle w:val="Caption"/>
        <w:rPr>
          <w:szCs w:val="24"/>
        </w:rPr>
      </w:pPr>
      <w:r w:rsidRPr="00155DF6">
        <w:rPr>
          <w:szCs w:val="24"/>
        </w:rPr>
        <w:t xml:space="preserve">Figure </w:t>
      </w:r>
      <w:r w:rsidR="00DC6627" w:rsidRPr="00155DF6">
        <w:rPr>
          <w:szCs w:val="24"/>
        </w:rPr>
        <w:t>3</w:t>
      </w:r>
      <w:r w:rsidRPr="00155DF6">
        <w:rPr>
          <w:szCs w:val="24"/>
        </w:rPr>
        <w:t xml:space="preserve">.  </w:t>
      </w:r>
      <w:r w:rsidR="000150F5" w:rsidRPr="00155DF6">
        <w:rPr>
          <w:szCs w:val="24"/>
        </w:rPr>
        <w:t>Corrosion depth of CAC, CSA, HB-CSA, and OPC across corrosivity classes C1–C5</w:t>
      </w:r>
    </w:p>
    <w:p w14:paraId="5555A199" w14:textId="0FB66624" w:rsidR="001C51E6" w:rsidRPr="00155DF6" w:rsidRDefault="00F72807" w:rsidP="00AF4FE5">
      <w:pPr>
        <w:pStyle w:val="Heading1"/>
        <w:rPr>
          <w:rFonts w:cs="Arial"/>
        </w:rPr>
      </w:pPr>
      <w:r w:rsidRPr="00155DF6">
        <w:rPr>
          <w:rFonts w:cs="Arial"/>
        </w:rPr>
        <w:t>future research</w:t>
      </w:r>
    </w:p>
    <w:p w14:paraId="44D99F97" w14:textId="3189632E" w:rsidR="00102AA9" w:rsidRPr="00155DF6" w:rsidRDefault="00102AA9" w:rsidP="00102AA9">
      <w:pPr>
        <w:pStyle w:val="Heading1"/>
        <w:jc w:val="both"/>
        <w:rPr>
          <w:rFonts w:cs="Arial"/>
          <w:sz w:val="24"/>
          <w:szCs w:val="24"/>
        </w:rPr>
      </w:pPr>
      <w:r w:rsidRPr="00155DF6">
        <w:rPr>
          <w:rFonts w:cs="Arial"/>
          <w:b w:val="0"/>
          <w:bCs/>
          <w:caps w:val="0"/>
          <w:sz w:val="24"/>
          <w:szCs w:val="24"/>
        </w:rPr>
        <w:t xml:space="preserve">The experimental program forms part of a broader thesis framework in which </w:t>
      </w:r>
      <w:r w:rsidR="0058380D" w:rsidRPr="00155DF6">
        <w:rPr>
          <w:rFonts w:cs="Arial"/>
          <w:b w:val="0"/>
          <w:bCs/>
          <w:caps w:val="0"/>
          <w:sz w:val="24"/>
          <w:szCs w:val="24"/>
        </w:rPr>
        <w:t xml:space="preserve">CAC, CSA, and HB-CSA </w:t>
      </w:r>
      <w:r w:rsidRPr="00155DF6">
        <w:rPr>
          <w:rFonts w:cs="Arial"/>
          <w:b w:val="0"/>
          <w:bCs/>
          <w:caps w:val="0"/>
          <w:sz w:val="24"/>
          <w:szCs w:val="24"/>
        </w:rPr>
        <w:t>were evaluated using standardised tests to establish a baseline for fresh, mechanical, and durability performance. Future work will apply the same testing matrix to emerging low-carbon binders and compare their performance directly with these reference systems under identical</w:t>
      </w:r>
      <w:r w:rsidRPr="00155DF6">
        <w:rPr>
          <w:rFonts w:cs="Arial"/>
          <w:caps w:val="0"/>
          <w:sz w:val="24"/>
          <w:szCs w:val="24"/>
        </w:rPr>
        <w:t xml:space="preserve"> </w:t>
      </w:r>
      <w:r w:rsidRPr="009F1C67">
        <w:rPr>
          <w:rFonts w:cs="Arial"/>
          <w:b w:val="0"/>
          <w:bCs/>
          <w:caps w:val="0"/>
          <w:sz w:val="24"/>
          <w:szCs w:val="24"/>
        </w:rPr>
        <w:t>conditions.</w:t>
      </w:r>
    </w:p>
    <w:p w14:paraId="34440988" w14:textId="45E387B2" w:rsidR="001D1CBD" w:rsidRPr="00155DF6" w:rsidRDefault="00D17602" w:rsidP="00102AA9">
      <w:pPr>
        <w:pStyle w:val="Heading1"/>
        <w:rPr>
          <w:rFonts w:cs="Arial"/>
        </w:rPr>
      </w:pPr>
      <w:r w:rsidRPr="00155DF6">
        <w:rPr>
          <w:rFonts w:cs="Arial"/>
        </w:rPr>
        <w:t>REFERENCES</w:t>
      </w:r>
    </w:p>
    <w:sdt>
      <w:sdtPr>
        <w:rPr>
          <w:rFonts w:ascii="Arial" w:hAnsi="Arial" w:cs="Arial"/>
          <w:color w:val="000000"/>
        </w:rPr>
        <w:tag w:val="MENDELEY_BIBLIOGRAPHY"/>
        <w:id w:val="-1034800097"/>
        <w:placeholder>
          <w:docPart w:val="DefaultPlaceholder_-1854013440"/>
        </w:placeholder>
      </w:sdtPr>
      <w:sdtEndPr/>
      <w:sdtContent>
        <w:p w14:paraId="04542F1E" w14:textId="63DDCCED" w:rsidR="00150BAC" w:rsidRPr="00FB601F" w:rsidRDefault="00150BAC" w:rsidP="003D6664">
          <w:pPr>
            <w:autoSpaceDE w:val="0"/>
            <w:autoSpaceDN w:val="0"/>
            <w:ind w:hanging="640"/>
            <w:jc w:val="both"/>
            <w:divId w:val="1507398775"/>
            <w:rPr>
              <w:rFonts w:ascii="Arial" w:hAnsi="Arial" w:cs="Arial"/>
              <w:color w:val="000000"/>
              <w:sz w:val="20"/>
            </w:rPr>
          </w:pPr>
          <w:r w:rsidRPr="006139B0">
            <w:rPr>
              <w:rFonts w:ascii="Arial" w:hAnsi="Arial" w:cs="Arial"/>
              <w:color w:val="000000"/>
              <w:sz w:val="20"/>
            </w:rPr>
            <w:t>[1]</w:t>
          </w:r>
          <w:r w:rsidRPr="006139B0">
            <w:rPr>
              <w:rFonts w:ascii="Arial" w:hAnsi="Arial" w:cs="Arial"/>
              <w:color w:val="000000"/>
              <w:sz w:val="20"/>
            </w:rPr>
            <w:tab/>
          </w:r>
          <w:r w:rsidRPr="00FB601F">
            <w:rPr>
              <w:rFonts w:ascii="Arial" w:hAnsi="Arial" w:cs="Arial"/>
              <w:color w:val="000000"/>
              <w:sz w:val="20"/>
            </w:rPr>
            <w:t xml:space="preserve">S.K. Pramanik, M. Bhuiyan, D. Robert, R. Roychand, L. Gao, I. Cole, B.K. Pramanik, Bio-corrosion in concrete sewer systems: Mechanisms and mitigation strategies, Science of The Total Environment 921 (2024) 171231. </w:t>
          </w:r>
          <w:hyperlink r:id="rId11" w:history="1">
            <w:r w:rsidR="00EF4CE5" w:rsidRPr="00FB601F">
              <w:rPr>
                <w:rStyle w:val="Hyperlink"/>
                <w:rFonts w:ascii="Arial" w:hAnsi="Arial" w:cs="Arial"/>
                <w:sz w:val="20"/>
              </w:rPr>
              <w:t>https://doi.org/10.1016/j.scitotenv.2024.171231</w:t>
            </w:r>
          </w:hyperlink>
          <w:r w:rsidRPr="00FB601F">
            <w:rPr>
              <w:rFonts w:ascii="Arial" w:hAnsi="Arial" w:cs="Arial"/>
              <w:color w:val="000000"/>
              <w:sz w:val="20"/>
            </w:rPr>
            <w:t>.</w:t>
          </w:r>
          <w:r w:rsidR="00EF4CE5" w:rsidRPr="00FB601F">
            <w:rPr>
              <w:rFonts w:ascii="Arial" w:hAnsi="Arial" w:cs="Arial"/>
              <w:color w:val="000000"/>
              <w:sz w:val="20"/>
            </w:rPr>
            <w:t xml:space="preserve"> </w:t>
          </w:r>
        </w:p>
        <w:p w14:paraId="2CA037E3" w14:textId="4C2928A5" w:rsidR="00150BAC" w:rsidRPr="00FB601F" w:rsidRDefault="00150BAC" w:rsidP="003D6664">
          <w:pPr>
            <w:autoSpaceDE w:val="0"/>
            <w:autoSpaceDN w:val="0"/>
            <w:ind w:hanging="640"/>
            <w:jc w:val="both"/>
            <w:divId w:val="1735547146"/>
            <w:rPr>
              <w:rFonts w:ascii="Arial" w:hAnsi="Arial" w:cs="Arial"/>
              <w:color w:val="000000"/>
              <w:sz w:val="20"/>
            </w:rPr>
          </w:pPr>
          <w:r w:rsidRPr="00FB601F">
            <w:rPr>
              <w:rFonts w:ascii="Arial" w:hAnsi="Arial" w:cs="Arial"/>
              <w:color w:val="000000"/>
              <w:sz w:val="20"/>
            </w:rPr>
            <w:t>[2]</w:t>
          </w:r>
          <w:r w:rsidRPr="00FB601F">
            <w:rPr>
              <w:rFonts w:ascii="Arial" w:hAnsi="Arial" w:cs="Arial"/>
              <w:color w:val="000000"/>
              <w:sz w:val="20"/>
            </w:rPr>
            <w:tab/>
            <w:t xml:space="preserve">C. Grengg, F. Mittermayr, N. Ukrainczyk, G. Koraimann, S. Kienesberger, M. Dietzel, Advances in concrete materials for sewer systems affected by </w:t>
          </w:r>
          <w:r w:rsidR="00EF3DED" w:rsidRPr="00FB601F">
            <w:rPr>
              <w:rFonts w:ascii="Arial" w:hAnsi="Arial" w:cs="Arial"/>
              <w:color w:val="000000"/>
              <w:sz w:val="20"/>
            </w:rPr>
            <w:t>microbial-induced</w:t>
          </w:r>
          <w:r w:rsidRPr="00FB601F">
            <w:rPr>
              <w:rFonts w:ascii="Arial" w:hAnsi="Arial" w:cs="Arial"/>
              <w:color w:val="000000"/>
              <w:sz w:val="20"/>
            </w:rPr>
            <w:t xml:space="preserve"> concrete corrosion: A review, Water Res. 134 (2018) 341–352. </w:t>
          </w:r>
          <w:hyperlink r:id="rId12" w:history="1">
            <w:r w:rsidR="00EF4CE5" w:rsidRPr="00FB601F">
              <w:rPr>
                <w:rStyle w:val="Hyperlink"/>
                <w:rFonts w:ascii="Arial" w:hAnsi="Arial" w:cs="Arial"/>
                <w:sz w:val="20"/>
              </w:rPr>
              <w:t>https://doi.org/10.1016/j.watres.2018.01.043</w:t>
            </w:r>
          </w:hyperlink>
          <w:r w:rsidRPr="00FB601F">
            <w:rPr>
              <w:rFonts w:ascii="Arial" w:hAnsi="Arial" w:cs="Arial"/>
              <w:color w:val="000000"/>
              <w:sz w:val="20"/>
            </w:rPr>
            <w:t>.</w:t>
          </w:r>
          <w:r w:rsidR="00EF4CE5" w:rsidRPr="00FB601F">
            <w:rPr>
              <w:rFonts w:ascii="Arial" w:hAnsi="Arial" w:cs="Arial"/>
              <w:color w:val="000000"/>
              <w:sz w:val="20"/>
            </w:rPr>
            <w:t xml:space="preserve"> </w:t>
          </w:r>
        </w:p>
        <w:p w14:paraId="198CDCD4" w14:textId="4FE06186" w:rsidR="00150BAC" w:rsidRPr="00FB601F" w:rsidRDefault="00150BAC" w:rsidP="003D6664">
          <w:pPr>
            <w:autoSpaceDE w:val="0"/>
            <w:autoSpaceDN w:val="0"/>
            <w:ind w:hanging="640"/>
            <w:jc w:val="both"/>
            <w:divId w:val="313532830"/>
            <w:rPr>
              <w:rFonts w:ascii="Arial" w:hAnsi="Arial" w:cs="Arial"/>
              <w:color w:val="000000"/>
              <w:sz w:val="20"/>
            </w:rPr>
          </w:pPr>
          <w:r w:rsidRPr="00FB601F">
            <w:rPr>
              <w:rFonts w:ascii="Arial" w:hAnsi="Arial" w:cs="Arial"/>
              <w:color w:val="000000"/>
              <w:sz w:val="20"/>
            </w:rPr>
            <w:t>[3]</w:t>
          </w:r>
          <w:r w:rsidRPr="00FB601F">
            <w:rPr>
              <w:rFonts w:ascii="Arial" w:hAnsi="Arial" w:cs="Arial"/>
              <w:color w:val="000000"/>
              <w:sz w:val="20"/>
            </w:rPr>
            <w:tab/>
            <w:t xml:space="preserve">M.W. Kiliswa, K.L. Scrivener, M.G. Alexander, The corrosion rate and microstructure of Portland cement and calcium aluminate cement-based concrete mixtures in outfall sewers: A comparative study, Cem. Concr. Res. 124 (2019). </w:t>
          </w:r>
          <w:hyperlink r:id="rId13" w:history="1">
            <w:r w:rsidR="00EF4CE5" w:rsidRPr="00FB601F">
              <w:rPr>
                <w:rStyle w:val="Hyperlink"/>
                <w:rFonts w:ascii="Arial" w:hAnsi="Arial" w:cs="Arial"/>
                <w:sz w:val="20"/>
              </w:rPr>
              <w:t>https://doi.org/10.1016/j.cemconres.2019.105818</w:t>
            </w:r>
          </w:hyperlink>
          <w:r w:rsidRPr="00FB601F">
            <w:rPr>
              <w:rFonts w:ascii="Arial" w:hAnsi="Arial" w:cs="Arial"/>
              <w:color w:val="000000"/>
              <w:sz w:val="20"/>
            </w:rPr>
            <w:t>.</w:t>
          </w:r>
          <w:r w:rsidR="00EF4CE5" w:rsidRPr="00FB601F">
            <w:rPr>
              <w:rFonts w:ascii="Arial" w:hAnsi="Arial" w:cs="Arial"/>
              <w:color w:val="000000"/>
              <w:sz w:val="20"/>
            </w:rPr>
            <w:t xml:space="preserve"> </w:t>
          </w:r>
        </w:p>
        <w:p w14:paraId="4C0070EE" w14:textId="35C6C47B" w:rsidR="00150BAC" w:rsidRPr="00FB601F" w:rsidRDefault="00150BAC" w:rsidP="003D6664">
          <w:pPr>
            <w:autoSpaceDE w:val="0"/>
            <w:autoSpaceDN w:val="0"/>
            <w:ind w:hanging="640"/>
            <w:jc w:val="both"/>
            <w:divId w:val="2131705704"/>
            <w:rPr>
              <w:rFonts w:ascii="Arial" w:hAnsi="Arial" w:cs="Arial"/>
              <w:color w:val="000000"/>
              <w:sz w:val="20"/>
            </w:rPr>
          </w:pPr>
          <w:r w:rsidRPr="00FB601F">
            <w:rPr>
              <w:rFonts w:ascii="Arial" w:hAnsi="Arial" w:cs="Arial"/>
              <w:color w:val="000000"/>
              <w:sz w:val="20"/>
            </w:rPr>
            <w:t>[4]</w:t>
          </w:r>
          <w:r w:rsidRPr="00FB601F">
            <w:rPr>
              <w:rFonts w:ascii="Arial" w:hAnsi="Arial" w:cs="Arial"/>
              <w:color w:val="000000"/>
              <w:sz w:val="20"/>
            </w:rPr>
            <w:tab/>
            <w:t xml:space="preserve">H.A. Khan, A. Castel, M.S.H. Khan, A.H. Mahmood, Durability of calcium aluminate and sulphate resistant Portland </w:t>
          </w:r>
          <w:proofErr w:type="gramStart"/>
          <w:r w:rsidRPr="00FB601F">
            <w:rPr>
              <w:rFonts w:ascii="Arial" w:hAnsi="Arial" w:cs="Arial"/>
              <w:color w:val="000000"/>
              <w:sz w:val="20"/>
            </w:rPr>
            <w:t>cement based</w:t>
          </w:r>
          <w:proofErr w:type="gramEnd"/>
          <w:r w:rsidRPr="00FB601F">
            <w:rPr>
              <w:rFonts w:ascii="Arial" w:hAnsi="Arial" w:cs="Arial"/>
              <w:color w:val="000000"/>
              <w:sz w:val="20"/>
            </w:rPr>
            <w:t xml:space="preserve"> mortars in aggressive sewer environment and sulphuric acid, Cem. Concr. Res. 124 (2019). </w:t>
          </w:r>
          <w:hyperlink r:id="rId14" w:history="1">
            <w:r w:rsidR="00EF3DED" w:rsidRPr="00FB601F">
              <w:rPr>
                <w:rStyle w:val="Hyperlink"/>
                <w:rFonts w:ascii="Arial" w:hAnsi="Arial" w:cs="Arial"/>
                <w:sz w:val="20"/>
              </w:rPr>
              <w:t>https://doi.org/10.1016/j.cemconres.2019.105852</w:t>
            </w:r>
          </w:hyperlink>
          <w:r w:rsidRPr="00FB601F">
            <w:rPr>
              <w:rFonts w:ascii="Arial" w:hAnsi="Arial" w:cs="Arial"/>
              <w:color w:val="000000"/>
              <w:sz w:val="20"/>
            </w:rPr>
            <w:t>.</w:t>
          </w:r>
          <w:r w:rsidR="00EF3DED" w:rsidRPr="00FB601F">
            <w:rPr>
              <w:rFonts w:ascii="Arial" w:hAnsi="Arial" w:cs="Arial"/>
              <w:color w:val="000000"/>
              <w:sz w:val="20"/>
            </w:rPr>
            <w:t xml:space="preserve"> </w:t>
          </w:r>
        </w:p>
        <w:p w14:paraId="47F931FA" w14:textId="7A247DE6" w:rsidR="00150BAC" w:rsidRPr="00FB601F" w:rsidRDefault="00150BAC" w:rsidP="003D6664">
          <w:pPr>
            <w:autoSpaceDE w:val="0"/>
            <w:autoSpaceDN w:val="0"/>
            <w:ind w:hanging="640"/>
            <w:jc w:val="both"/>
            <w:divId w:val="573320449"/>
            <w:rPr>
              <w:rFonts w:ascii="Arial" w:hAnsi="Arial" w:cs="Arial"/>
              <w:color w:val="000000"/>
              <w:sz w:val="20"/>
            </w:rPr>
          </w:pPr>
          <w:r w:rsidRPr="00FB601F">
            <w:rPr>
              <w:rFonts w:ascii="Arial" w:hAnsi="Arial" w:cs="Arial"/>
              <w:color w:val="000000"/>
              <w:sz w:val="20"/>
            </w:rPr>
            <w:t>[5]</w:t>
          </w:r>
          <w:r w:rsidRPr="00FB601F">
            <w:rPr>
              <w:rFonts w:ascii="Arial" w:hAnsi="Arial" w:cs="Arial"/>
              <w:color w:val="000000"/>
              <w:sz w:val="20"/>
            </w:rPr>
            <w:tab/>
            <w:t xml:space="preserve">A.T. Bakera, </w:t>
          </w:r>
          <w:proofErr w:type="gramStart"/>
          <w:r w:rsidRPr="00FB601F">
            <w:rPr>
              <w:rFonts w:ascii="Arial" w:hAnsi="Arial" w:cs="Arial"/>
              <w:color w:val="000000"/>
              <w:sz w:val="20"/>
            </w:rPr>
            <w:t>A.</w:t>
          </w:r>
          <w:proofErr w:type="gramEnd"/>
          <w:r w:rsidRPr="00FB601F">
            <w:rPr>
              <w:rFonts w:ascii="Arial" w:hAnsi="Arial" w:cs="Arial"/>
              <w:color w:val="000000"/>
              <w:sz w:val="20"/>
            </w:rPr>
            <w:t xml:space="preserve"> Aboulela, M.G. Alexander, A. Bertron, M. Peyre Lavigne, S. Meulenyzer, C. Patapy, Performance of Sewer Concretes with Calcium Sulpho-Aluminate Cement and Portland Cement Blends: Field and Laboratory Studies, Materials (Basel). 18 (2025). </w:t>
          </w:r>
          <w:hyperlink r:id="rId15" w:history="1">
            <w:r w:rsidR="00EF3DED" w:rsidRPr="00FB601F">
              <w:rPr>
                <w:rStyle w:val="Hyperlink"/>
                <w:rFonts w:ascii="Arial" w:hAnsi="Arial" w:cs="Arial"/>
                <w:sz w:val="20"/>
              </w:rPr>
              <w:t>https://doi.org/10.3390/ma18061256</w:t>
            </w:r>
          </w:hyperlink>
          <w:r w:rsidRPr="00FB601F">
            <w:rPr>
              <w:rFonts w:ascii="Arial" w:hAnsi="Arial" w:cs="Arial"/>
              <w:color w:val="000000"/>
              <w:sz w:val="20"/>
            </w:rPr>
            <w:t>.</w:t>
          </w:r>
          <w:r w:rsidR="00EF3DED" w:rsidRPr="00FB601F">
            <w:rPr>
              <w:rFonts w:ascii="Arial" w:hAnsi="Arial" w:cs="Arial"/>
              <w:color w:val="000000"/>
              <w:sz w:val="20"/>
            </w:rPr>
            <w:t xml:space="preserve"> </w:t>
          </w:r>
        </w:p>
        <w:p w14:paraId="3DFF23A7" w14:textId="3511F2E6" w:rsidR="00150BAC" w:rsidRPr="00FB601F" w:rsidRDefault="00150BAC" w:rsidP="003D6664">
          <w:pPr>
            <w:autoSpaceDE w:val="0"/>
            <w:autoSpaceDN w:val="0"/>
            <w:ind w:hanging="640"/>
            <w:jc w:val="both"/>
            <w:divId w:val="1777872060"/>
            <w:rPr>
              <w:rFonts w:ascii="Arial" w:hAnsi="Arial" w:cs="Arial"/>
              <w:color w:val="000000"/>
              <w:sz w:val="20"/>
            </w:rPr>
          </w:pPr>
          <w:r w:rsidRPr="00FB601F">
            <w:rPr>
              <w:rFonts w:ascii="Arial" w:hAnsi="Arial" w:cs="Arial"/>
              <w:color w:val="000000"/>
              <w:sz w:val="20"/>
            </w:rPr>
            <w:t>[6]</w:t>
          </w:r>
          <w:r w:rsidRPr="00FB601F">
            <w:rPr>
              <w:rFonts w:ascii="Arial" w:hAnsi="Arial" w:cs="Arial"/>
              <w:color w:val="000000"/>
              <w:sz w:val="20"/>
            </w:rPr>
            <w:tab/>
            <w:t xml:space="preserve">P. Sturm, G.J.G. Gluth, C. Jäger, H.J.H. Brouwers, H.C. Kühne, Sulfuric acid resistance of one-part alkali-activated mortars, Cem. Concr. Res. 109 (2018) 54–63. </w:t>
          </w:r>
          <w:r w:rsidR="00EF3DED" w:rsidRPr="00FB601F">
            <w:rPr>
              <w:rFonts w:ascii="Arial" w:hAnsi="Arial" w:cs="Arial"/>
              <w:color w:val="000000"/>
              <w:sz w:val="20"/>
            </w:rPr>
            <w:t xml:space="preserve"> </w:t>
          </w:r>
          <w:hyperlink r:id="rId16" w:history="1">
            <w:r w:rsidR="00EF3DED" w:rsidRPr="00FB601F">
              <w:rPr>
                <w:rStyle w:val="Hyperlink"/>
                <w:rFonts w:ascii="Arial" w:hAnsi="Arial" w:cs="Arial"/>
                <w:sz w:val="20"/>
              </w:rPr>
              <w:t>https://doi.org/10.1016/j.cemconres.2018.04.009</w:t>
            </w:r>
          </w:hyperlink>
          <w:r w:rsidRPr="00FB601F">
            <w:rPr>
              <w:rFonts w:ascii="Arial" w:hAnsi="Arial" w:cs="Arial"/>
              <w:color w:val="000000"/>
              <w:sz w:val="20"/>
            </w:rPr>
            <w:t>.</w:t>
          </w:r>
          <w:r w:rsidR="00EF3DED" w:rsidRPr="00FB601F">
            <w:rPr>
              <w:rFonts w:ascii="Arial" w:hAnsi="Arial" w:cs="Arial"/>
              <w:color w:val="000000"/>
              <w:sz w:val="20"/>
            </w:rPr>
            <w:t xml:space="preserve"> </w:t>
          </w:r>
        </w:p>
        <w:p w14:paraId="0007A3B9" w14:textId="5047A189" w:rsidR="00150BAC" w:rsidRPr="00FB601F" w:rsidRDefault="00150BAC" w:rsidP="003D6664">
          <w:pPr>
            <w:autoSpaceDE w:val="0"/>
            <w:autoSpaceDN w:val="0"/>
            <w:ind w:hanging="640"/>
            <w:jc w:val="both"/>
            <w:divId w:val="1737165114"/>
            <w:rPr>
              <w:rFonts w:ascii="Arial" w:hAnsi="Arial" w:cs="Arial"/>
              <w:color w:val="000000"/>
              <w:sz w:val="20"/>
            </w:rPr>
          </w:pPr>
          <w:r w:rsidRPr="00FB601F">
            <w:rPr>
              <w:rFonts w:ascii="Arial" w:hAnsi="Arial" w:cs="Arial"/>
              <w:color w:val="000000"/>
              <w:sz w:val="20"/>
            </w:rPr>
            <w:t>[7]</w:t>
          </w:r>
          <w:r w:rsidRPr="00FB601F">
            <w:rPr>
              <w:rFonts w:ascii="Arial" w:hAnsi="Arial" w:cs="Arial"/>
              <w:color w:val="000000"/>
              <w:sz w:val="20"/>
            </w:rPr>
            <w:tab/>
            <w:t xml:space="preserve">H.A. Khan, M.S.H. Khan, A. Castel, J. Sunarho, Deterioration of alkali-activated mortars exposed to natural aggressive sewer environment, Constr. Build. Mater. 186 (2018) 577–597. </w:t>
          </w:r>
          <w:hyperlink r:id="rId17" w:history="1">
            <w:r w:rsidR="00EF3DED" w:rsidRPr="00FB601F">
              <w:rPr>
                <w:rStyle w:val="Hyperlink"/>
                <w:rFonts w:ascii="Arial" w:hAnsi="Arial" w:cs="Arial"/>
                <w:sz w:val="20"/>
              </w:rPr>
              <w:t>https://doi.org/10.1016/j.conbuildmat.2018.07.137</w:t>
            </w:r>
          </w:hyperlink>
          <w:r w:rsidRPr="00FB601F">
            <w:rPr>
              <w:rFonts w:ascii="Arial" w:hAnsi="Arial" w:cs="Arial"/>
              <w:color w:val="000000"/>
              <w:sz w:val="20"/>
            </w:rPr>
            <w:t>.</w:t>
          </w:r>
          <w:r w:rsidR="00EF3DED" w:rsidRPr="00FB601F">
            <w:rPr>
              <w:rFonts w:ascii="Arial" w:hAnsi="Arial" w:cs="Arial"/>
              <w:color w:val="000000"/>
              <w:sz w:val="20"/>
            </w:rPr>
            <w:t xml:space="preserve"> </w:t>
          </w:r>
        </w:p>
        <w:p w14:paraId="51A52F83" w14:textId="4020B2D2" w:rsidR="00A50BFD" w:rsidRPr="00155DF6" w:rsidRDefault="00150BAC" w:rsidP="00E031C9">
          <w:pPr>
            <w:pStyle w:val="Legal1"/>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rPr>
          </w:pPr>
          <w:r w:rsidRPr="00155DF6">
            <w:rPr>
              <w:rFonts w:ascii="Arial" w:hAnsi="Arial" w:cs="Arial"/>
              <w:color w:val="000000"/>
            </w:rPr>
            <w:t> </w:t>
          </w:r>
        </w:p>
      </w:sdtContent>
    </w:sdt>
    <w:sectPr w:rsidR="00A50BFD" w:rsidRPr="00155DF6" w:rsidSect="00F7640D">
      <w:footerReference w:type="even" r:id="rId18"/>
      <w:footerReference w:type="default" r:id="rId19"/>
      <w:headerReference w:type="first" r:id="rId20"/>
      <w:footerReference w:type="first" r:id="rId21"/>
      <w:endnotePr>
        <w:numFmt w:val="decimal"/>
      </w:endnotePr>
      <w:pgSz w:w="11905" w:h="16837" w:code="9"/>
      <w:pgMar w:top="1699" w:right="1699" w:bottom="1699" w:left="1699" w:header="720" w:footer="720" w:gutter="576"/>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EC7CF" w14:textId="77777777" w:rsidR="00EE5665" w:rsidRDefault="00EE5665">
      <w:r>
        <w:separator/>
      </w:r>
    </w:p>
  </w:endnote>
  <w:endnote w:type="continuationSeparator" w:id="0">
    <w:p w14:paraId="6CEFC0E2" w14:textId="77777777" w:rsidR="00EE5665" w:rsidRDefault="00EE5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8A28F" w14:textId="77777777" w:rsidR="00E0465F" w:rsidRDefault="00E0465F" w:rsidP="00E8173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E5A0B7" w14:textId="77777777" w:rsidR="00E0465F" w:rsidRDefault="00E0465F" w:rsidP="00E046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10C5B" w14:textId="77777777" w:rsidR="00E0465F" w:rsidRPr="00F7640D" w:rsidRDefault="00E0465F" w:rsidP="00E81735">
    <w:pPr>
      <w:pStyle w:val="Footer"/>
      <w:framePr w:wrap="none" w:vAnchor="text" w:hAnchor="margin" w:xAlign="right" w:y="1"/>
      <w:rPr>
        <w:rStyle w:val="PageNumber"/>
        <w:rFonts w:ascii="Arial" w:hAnsi="Arial" w:cs="Arial"/>
      </w:rPr>
    </w:pPr>
    <w:r w:rsidRPr="00F7640D">
      <w:rPr>
        <w:rStyle w:val="PageNumber"/>
        <w:rFonts w:ascii="Arial" w:hAnsi="Arial" w:cs="Arial"/>
      </w:rPr>
      <w:fldChar w:fldCharType="begin"/>
    </w:r>
    <w:r w:rsidRPr="00F7640D">
      <w:rPr>
        <w:rStyle w:val="PageNumber"/>
        <w:rFonts w:ascii="Arial" w:hAnsi="Arial" w:cs="Arial"/>
      </w:rPr>
      <w:instrText xml:space="preserve">PAGE  </w:instrText>
    </w:r>
    <w:r w:rsidRPr="00F7640D">
      <w:rPr>
        <w:rStyle w:val="PageNumber"/>
        <w:rFonts w:ascii="Arial" w:hAnsi="Arial" w:cs="Arial"/>
      </w:rPr>
      <w:fldChar w:fldCharType="separate"/>
    </w:r>
    <w:r w:rsidRPr="00F7640D">
      <w:rPr>
        <w:rStyle w:val="PageNumber"/>
        <w:rFonts w:ascii="Arial" w:hAnsi="Arial" w:cs="Arial"/>
        <w:noProof/>
      </w:rPr>
      <w:t>3</w:t>
    </w:r>
    <w:r w:rsidRPr="00F7640D">
      <w:rPr>
        <w:rStyle w:val="PageNumber"/>
        <w:rFonts w:ascii="Arial" w:hAnsi="Arial" w:cs="Arial"/>
      </w:rPr>
      <w:fldChar w:fldCharType="end"/>
    </w:r>
  </w:p>
  <w:p w14:paraId="1885F293" w14:textId="77777777" w:rsidR="00E0465F" w:rsidRPr="00F7640D" w:rsidRDefault="00E0465F" w:rsidP="00E0465F">
    <w:pPr>
      <w:pStyle w:val="Footer"/>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4857B" w14:textId="77777777" w:rsidR="007351DA" w:rsidRPr="007351DA" w:rsidRDefault="007351DA" w:rsidP="00E81735">
    <w:pPr>
      <w:pStyle w:val="Footer"/>
      <w:framePr w:wrap="none" w:vAnchor="text" w:hAnchor="margin" w:xAlign="right" w:y="1"/>
      <w:rPr>
        <w:rStyle w:val="PageNumber"/>
      </w:rPr>
    </w:pPr>
    <w:r w:rsidRPr="007351DA">
      <w:rPr>
        <w:rStyle w:val="PageNumber"/>
      </w:rPr>
      <w:fldChar w:fldCharType="begin"/>
    </w:r>
    <w:r w:rsidRPr="007351DA">
      <w:rPr>
        <w:rStyle w:val="PageNumber"/>
      </w:rPr>
      <w:instrText xml:space="preserve">PAGE  </w:instrText>
    </w:r>
    <w:r w:rsidRPr="007351DA">
      <w:rPr>
        <w:rStyle w:val="PageNumber"/>
      </w:rPr>
      <w:fldChar w:fldCharType="separate"/>
    </w:r>
    <w:r w:rsidR="00E0465F">
      <w:rPr>
        <w:rStyle w:val="PageNumber"/>
        <w:noProof/>
      </w:rPr>
      <w:t>1</w:t>
    </w:r>
    <w:r w:rsidRPr="007351DA">
      <w:rPr>
        <w:rStyle w:val="PageNumber"/>
      </w:rPr>
      <w:fldChar w:fldCharType="end"/>
    </w:r>
  </w:p>
  <w:p w14:paraId="6210ACEE" w14:textId="23133868" w:rsidR="007351DA" w:rsidRPr="00A37B3E" w:rsidRDefault="007351DA" w:rsidP="007351DA">
    <w:pPr>
      <w:pStyle w:val="Footer"/>
      <w:ind w:right="360"/>
      <w:rPr>
        <w:rFonts w:ascii="Arial" w:hAnsi="Arial" w:cs="Arial"/>
        <w:i/>
      </w:rPr>
    </w:pPr>
    <w:r w:rsidRPr="00F7640D">
      <w:rPr>
        <w:rFonts w:ascii="Arial" w:hAnsi="Arial" w:cs="Arial"/>
        <w:i/>
      </w:rPr>
      <w:t>*</w:t>
    </w:r>
    <w:r w:rsidR="00A37B3E">
      <w:rPr>
        <w:rFonts w:ascii="Arial" w:hAnsi="Arial" w:cs="Arial"/>
        <w:i/>
      </w:rPr>
      <w:t>bishwjeet.binwal@sydney.edu.au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F8F0B" w14:textId="77777777" w:rsidR="00EE5665" w:rsidRDefault="00EE5665">
      <w:r>
        <w:separator/>
      </w:r>
    </w:p>
  </w:footnote>
  <w:footnote w:type="continuationSeparator" w:id="0">
    <w:p w14:paraId="5811D00E" w14:textId="77777777" w:rsidR="00EE5665" w:rsidRDefault="00EE5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71BB" w14:textId="73CB75F8" w:rsidR="00F7640D" w:rsidRDefault="00F7640D">
    <w:pPr>
      <w:pStyle w:val="Header"/>
    </w:pPr>
    <w:r w:rsidRPr="00974929">
      <w:rPr>
        <w:noProof/>
      </w:rPr>
      <w:drawing>
        <wp:inline distT="0" distB="0" distL="0" distR="0" wp14:anchorId="5F79B26A" wp14:editId="586D810F">
          <wp:extent cx="3884531" cy="1203125"/>
          <wp:effectExtent l="0" t="0" r="1905" b="3810"/>
          <wp:docPr id="7" name="Picture 1" descr="A close-up of a logo&#10;&#10;Description automatically generated">
            <a:extLst xmlns:a="http://schemas.openxmlformats.org/drawingml/2006/main">
              <a:ext uri="{FF2B5EF4-FFF2-40B4-BE49-F238E27FC236}">
                <a16:creationId xmlns:a16="http://schemas.microsoft.com/office/drawing/2014/main" id="{B71F3E7E-96DE-A587-CBC2-B375ED8BC6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 close-up of a logo&#10;&#10;Description automatically generated">
                    <a:extLst>
                      <a:ext uri="{FF2B5EF4-FFF2-40B4-BE49-F238E27FC236}">
                        <a16:creationId xmlns:a16="http://schemas.microsoft.com/office/drawing/2014/main" id="{B71F3E7E-96DE-A587-CBC2-B375ED8BC6CB}"/>
                      </a:ext>
                    </a:extLst>
                  </pic:cNvPr>
                  <pic:cNvPicPr>
                    <a:picLocks noChangeAspect="1"/>
                  </pic:cNvPicPr>
                </pic:nvPicPr>
                <pic:blipFill>
                  <a:blip r:embed="rId1"/>
                  <a:stretch>
                    <a:fillRect/>
                  </a:stretch>
                </pic:blipFill>
                <pic:spPr>
                  <a:xfrm>
                    <a:off x="0" y="0"/>
                    <a:ext cx="3926251" cy="12160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lowerRoman"/>
      <w:suff w:val="nothing"/>
      <w:lvlText w:val="%9)"/>
      <w:lvlJc w:val="left"/>
    </w:lvl>
  </w:abstractNum>
  <w:abstractNum w:abstractNumId="1" w15:restartNumberingAfterBreak="0">
    <w:nsid w:val="0B0F5DC3"/>
    <w:multiLevelType w:val="hybridMultilevel"/>
    <w:tmpl w:val="9B5210B2"/>
    <w:lvl w:ilvl="0" w:tplc="1EF4ED46">
      <w:start w:val="1"/>
      <w:numFmt w:val="decimal"/>
      <w:pStyle w:val="EndnoteText"/>
      <w:lvlText w:val="[%1]"/>
      <w:lvlJc w:val="left"/>
      <w:pPr>
        <w:tabs>
          <w:tab w:val="num" w:pos="567"/>
        </w:tabs>
        <w:ind w:left="567" w:hanging="567"/>
      </w:pPr>
      <w:rPr>
        <w:rFonts w:ascii="Garamond" w:hAnsi="Garamond"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4C7DB6"/>
    <w:multiLevelType w:val="hybridMultilevel"/>
    <w:tmpl w:val="F3BE4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FE1B1A"/>
    <w:multiLevelType w:val="hybridMultilevel"/>
    <w:tmpl w:val="C9CAD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456EE7"/>
    <w:multiLevelType w:val="hybridMultilevel"/>
    <w:tmpl w:val="C8D4F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F935FF"/>
    <w:multiLevelType w:val="hybridMultilevel"/>
    <w:tmpl w:val="77C4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C402F8"/>
    <w:multiLevelType w:val="hybridMultilevel"/>
    <w:tmpl w:val="4B7AF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6069C0"/>
    <w:multiLevelType w:val="hybridMultilevel"/>
    <w:tmpl w:val="4C780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2D1FF7"/>
    <w:multiLevelType w:val="hybridMultilevel"/>
    <w:tmpl w:val="376C9206"/>
    <w:lvl w:ilvl="0" w:tplc="0C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DDF3204"/>
    <w:multiLevelType w:val="hybridMultilevel"/>
    <w:tmpl w:val="F06AD084"/>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32915738">
    <w:abstractNumId w:val="0"/>
  </w:num>
  <w:num w:numId="2" w16cid:durableId="450326837">
    <w:abstractNumId w:val="1"/>
  </w:num>
  <w:num w:numId="3" w16cid:durableId="1172454485">
    <w:abstractNumId w:val="2"/>
  </w:num>
  <w:num w:numId="4" w16cid:durableId="192378722">
    <w:abstractNumId w:val="6"/>
  </w:num>
  <w:num w:numId="5" w16cid:durableId="390269958">
    <w:abstractNumId w:val="3"/>
  </w:num>
  <w:num w:numId="6" w16cid:durableId="2058897220">
    <w:abstractNumId w:val="4"/>
  </w:num>
  <w:num w:numId="7" w16cid:durableId="286277593">
    <w:abstractNumId w:val="5"/>
  </w:num>
  <w:num w:numId="8" w16cid:durableId="1064259987">
    <w:abstractNumId w:val="7"/>
  </w:num>
  <w:num w:numId="9" w16cid:durableId="957564318">
    <w:abstractNumId w:val="9"/>
  </w:num>
  <w:num w:numId="10" w16cid:durableId="1768888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720"/>
  <w:hyphenationZone w:val="0"/>
  <w:doNotHyphenateCap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 ICAA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d95w9zwrr0vieardsxder30faetpx9wsev&quot;&gt;NSFCAREER_2012&lt;record-ids&gt;&lt;item&gt;108&lt;/item&gt;&lt;item&gt;153&lt;/item&gt;&lt;item&gt;154&lt;/item&gt;&lt;item&gt;156&lt;/item&gt;&lt;item&gt;157&lt;/item&gt;&lt;item&gt;158&lt;/item&gt;&lt;item&gt;681&lt;/item&gt;&lt;item&gt;932&lt;/item&gt;&lt;item&gt;936&lt;/item&gt;&lt;item&gt;1080&lt;/item&gt;&lt;item&gt;1081&lt;/item&gt;&lt;item&gt;1082&lt;/item&gt;&lt;item&gt;1084&lt;/item&gt;&lt;item&gt;1085&lt;/item&gt;&lt;item&gt;1086&lt;/item&gt;&lt;item&gt;1105&lt;/item&gt;&lt;/record-ids&gt;&lt;/item&gt;&lt;/Libraries&gt;"/>
  </w:docVars>
  <w:rsids>
    <w:rsidRoot w:val="00B54572"/>
    <w:rsid w:val="000150F5"/>
    <w:rsid w:val="000301C9"/>
    <w:rsid w:val="000327C8"/>
    <w:rsid w:val="00034C66"/>
    <w:rsid w:val="00042E33"/>
    <w:rsid w:val="00055962"/>
    <w:rsid w:val="000651FF"/>
    <w:rsid w:val="00074282"/>
    <w:rsid w:val="0008697E"/>
    <w:rsid w:val="0009331D"/>
    <w:rsid w:val="000973EB"/>
    <w:rsid w:val="000B6B97"/>
    <w:rsid w:val="000C6721"/>
    <w:rsid w:val="000E5A43"/>
    <w:rsid w:val="000F3577"/>
    <w:rsid w:val="000F52AE"/>
    <w:rsid w:val="00101B11"/>
    <w:rsid w:val="00102AA9"/>
    <w:rsid w:val="00111E00"/>
    <w:rsid w:val="00113A77"/>
    <w:rsid w:val="00116039"/>
    <w:rsid w:val="00122E0B"/>
    <w:rsid w:val="00130516"/>
    <w:rsid w:val="001410E4"/>
    <w:rsid w:val="001426E5"/>
    <w:rsid w:val="00144986"/>
    <w:rsid w:val="00147CC0"/>
    <w:rsid w:val="00150BAC"/>
    <w:rsid w:val="00151202"/>
    <w:rsid w:val="00155DF6"/>
    <w:rsid w:val="00157720"/>
    <w:rsid w:val="001579E0"/>
    <w:rsid w:val="0016550C"/>
    <w:rsid w:val="001703EF"/>
    <w:rsid w:val="001704C4"/>
    <w:rsid w:val="00170AF3"/>
    <w:rsid w:val="00174021"/>
    <w:rsid w:val="001755B6"/>
    <w:rsid w:val="001868A5"/>
    <w:rsid w:val="001C41D0"/>
    <w:rsid w:val="001C51E6"/>
    <w:rsid w:val="001D0333"/>
    <w:rsid w:val="001D1CBD"/>
    <w:rsid w:val="001E1C0A"/>
    <w:rsid w:val="001E2EA4"/>
    <w:rsid w:val="001E33E8"/>
    <w:rsid w:val="001E6905"/>
    <w:rsid w:val="001E697E"/>
    <w:rsid w:val="001E6DBF"/>
    <w:rsid w:val="001E7F4C"/>
    <w:rsid w:val="002070E3"/>
    <w:rsid w:val="00215CEE"/>
    <w:rsid w:val="002162EE"/>
    <w:rsid w:val="00216DA1"/>
    <w:rsid w:val="0022655E"/>
    <w:rsid w:val="00236288"/>
    <w:rsid w:val="002407BE"/>
    <w:rsid w:val="00241A1F"/>
    <w:rsid w:val="00247B5E"/>
    <w:rsid w:val="00252164"/>
    <w:rsid w:val="00254C74"/>
    <w:rsid w:val="0025626A"/>
    <w:rsid w:val="00263EE2"/>
    <w:rsid w:val="002709B6"/>
    <w:rsid w:val="002725BE"/>
    <w:rsid w:val="002800FA"/>
    <w:rsid w:val="00280755"/>
    <w:rsid w:val="00284F39"/>
    <w:rsid w:val="002901CA"/>
    <w:rsid w:val="002A0B40"/>
    <w:rsid w:val="002A72C2"/>
    <w:rsid w:val="002B0488"/>
    <w:rsid w:val="002B30CA"/>
    <w:rsid w:val="002B366C"/>
    <w:rsid w:val="002D2296"/>
    <w:rsid w:val="002D6C58"/>
    <w:rsid w:val="002E052C"/>
    <w:rsid w:val="002E561F"/>
    <w:rsid w:val="0031575D"/>
    <w:rsid w:val="00330481"/>
    <w:rsid w:val="00337C39"/>
    <w:rsid w:val="00341241"/>
    <w:rsid w:val="00343FFB"/>
    <w:rsid w:val="003470C2"/>
    <w:rsid w:val="00347739"/>
    <w:rsid w:val="00351528"/>
    <w:rsid w:val="003579EF"/>
    <w:rsid w:val="003716EA"/>
    <w:rsid w:val="003810E9"/>
    <w:rsid w:val="00387AF6"/>
    <w:rsid w:val="003A0FAF"/>
    <w:rsid w:val="003A178B"/>
    <w:rsid w:val="003D1B27"/>
    <w:rsid w:val="003D6664"/>
    <w:rsid w:val="003E6274"/>
    <w:rsid w:val="003E7963"/>
    <w:rsid w:val="003F1041"/>
    <w:rsid w:val="00404E4D"/>
    <w:rsid w:val="00406B92"/>
    <w:rsid w:val="00407B32"/>
    <w:rsid w:val="00416527"/>
    <w:rsid w:val="004215BA"/>
    <w:rsid w:val="00426D98"/>
    <w:rsid w:val="004327D4"/>
    <w:rsid w:val="004408BB"/>
    <w:rsid w:val="00442CAB"/>
    <w:rsid w:val="00454153"/>
    <w:rsid w:val="00454B46"/>
    <w:rsid w:val="00465DF5"/>
    <w:rsid w:val="0046690D"/>
    <w:rsid w:val="00472C40"/>
    <w:rsid w:val="00490F1A"/>
    <w:rsid w:val="00493FBC"/>
    <w:rsid w:val="00494EA4"/>
    <w:rsid w:val="004A056E"/>
    <w:rsid w:val="004A08A0"/>
    <w:rsid w:val="004B69F2"/>
    <w:rsid w:val="004C0148"/>
    <w:rsid w:val="004C0965"/>
    <w:rsid w:val="004C57FC"/>
    <w:rsid w:val="004D0162"/>
    <w:rsid w:val="004F075F"/>
    <w:rsid w:val="004F77AB"/>
    <w:rsid w:val="005004D4"/>
    <w:rsid w:val="00506ED3"/>
    <w:rsid w:val="0052400E"/>
    <w:rsid w:val="00527912"/>
    <w:rsid w:val="00535860"/>
    <w:rsid w:val="0053655A"/>
    <w:rsid w:val="00540404"/>
    <w:rsid w:val="005537E5"/>
    <w:rsid w:val="005618CD"/>
    <w:rsid w:val="00561CBF"/>
    <w:rsid w:val="00561DC5"/>
    <w:rsid w:val="00564872"/>
    <w:rsid w:val="00572B60"/>
    <w:rsid w:val="00582C57"/>
    <w:rsid w:val="0058380D"/>
    <w:rsid w:val="005934A5"/>
    <w:rsid w:val="005A280B"/>
    <w:rsid w:val="005A6773"/>
    <w:rsid w:val="005E2BDD"/>
    <w:rsid w:val="005E6C0A"/>
    <w:rsid w:val="005E7C09"/>
    <w:rsid w:val="005F13A1"/>
    <w:rsid w:val="005F21A1"/>
    <w:rsid w:val="005F4BFD"/>
    <w:rsid w:val="00606D30"/>
    <w:rsid w:val="0060786E"/>
    <w:rsid w:val="0061188A"/>
    <w:rsid w:val="006139B0"/>
    <w:rsid w:val="00613A75"/>
    <w:rsid w:val="0062191F"/>
    <w:rsid w:val="00622EF0"/>
    <w:rsid w:val="0062605D"/>
    <w:rsid w:val="00635E82"/>
    <w:rsid w:val="00636DAA"/>
    <w:rsid w:val="006538B1"/>
    <w:rsid w:val="0065464A"/>
    <w:rsid w:val="006578C1"/>
    <w:rsid w:val="0066002A"/>
    <w:rsid w:val="006608E6"/>
    <w:rsid w:val="0066395F"/>
    <w:rsid w:val="0068177D"/>
    <w:rsid w:val="00686CD8"/>
    <w:rsid w:val="00692A3E"/>
    <w:rsid w:val="00693D56"/>
    <w:rsid w:val="006C7394"/>
    <w:rsid w:val="006D3FB1"/>
    <w:rsid w:val="006D69AA"/>
    <w:rsid w:val="006F3D70"/>
    <w:rsid w:val="00700B9F"/>
    <w:rsid w:val="00704782"/>
    <w:rsid w:val="0070504D"/>
    <w:rsid w:val="00710D0E"/>
    <w:rsid w:val="00713446"/>
    <w:rsid w:val="00713C52"/>
    <w:rsid w:val="007232A5"/>
    <w:rsid w:val="007273A6"/>
    <w:rsid w:val="00727D21"/>
    <w:rsid w:val="00730A20"/>
    <w:rsid w:val="00730E9B"/>
    <w:rsid w:val="00733643"/>
    <w:rsid w:val="0073383D"/>
    <w:rsid w:val="007351DA"/>
    <w:rsid w:val="00752F59"/>
    <w:rsid w:val="00753F25"/>
    <w:rsid w:val="00754A8C"/>
    <w:rsid w:val="00755A3A"/>
    <w:rsid w:val="00772867"/>
    <w:rsid w:val="00777CB4"/>
    <w:rsid w:val="00785336"/>
    <w:rsid w:val="007A3313"/>
    <w:rsid w:val="007A4DEA"/>
    <w:rsid w:val="007A7B35"/>
    <w:rsid w:val="007B3FFD"/>
    <w:rsid w:val="007F4131"/>
    <w:rsid w:val="007F639E"/>
    <w:rsid w:val="00822AC6"/>
    <w:rsid w:val="00840226"/>
    <w:rsid w:val="00846687"/>
    <w:rsid w:val="008479FA"/>
    <w:rsid w:val="00854FF5"/>
    <w:rsid w:val="00870165"/>
    <w:rsid w:val="00880550"/>
    <w:rsid w:val="0088071B"/>
    <w:rsid w:val="00884CB2"/>
    <w:rsid w:val="0088746E"/>
    <w:rsid w:val="008A5221"/>
    <w:rsid w:val="008A60F2"/>
    <w:rsid w:val="008B22A5"/>
    <w:rsid w:val="008C1519"/>
    <w:rsid w:val="008C1CBC"/>
    <w:rsid w:val="008D676A"/>
    <w:rsid w:val="0090453E"/>
    <w:rsid w:val="00910106"/>
    <w:rsid w:val="00926EF3"/>
    <w:rsid w:val="00936DEE"/>
    <w:rsid w:val="009419C0"/>
    <w:rsid w:val="00943D68"/>
    <w:rsid w:val="009509E1"/>
    <w:rsid w:val="00950B66"/>
    <w:rsid w:val="00950FB1"/>
    <w:rsid w:val="009548EF"/>
    <w:rsid w:val="00955E08"/>
    <w:rsid w:val="00995EF2"/>
    <w:rsid w:val="009D13AD"/>
    <w:rsid w:val="009D2E8C"/>
    <w:rsid w:val="009D44D5"/>
    <w:rsid w:val="009D5434"/>
    <w:rsid w:val="009E36A8"/>
    <w:rsid w:val="009E5A62"/>
    <w:rsid w:val="009E7D17"/>
    <w:rsid w:val="009F1C67"/>
    <w:rsid w:val="009F33DC"/>
    <w:rsid w:val="00A0258B"/>
    <w:rsid w:val="00A246AB"/>
    <w:rsid w:val="00A25C0F"/>
    <w:rsid w:val="00A33AB5"/>
    <w:rsid w:val="00A351AB"/>
    <w:rsid w:val="00A37B3E"/>
    <w:rsid w:val="00A50BFD"/>
    <w:rsid w:val="00A64C69"/>
    <w:rsid w:val="00AA37D7"/>
    <w:rsid w:val="00AA6830"/>
    <w:rsid w:val="00AB1F94"/>
    <w:rsid w:val="00AB4736"/>
    <w:rsid w:val="00AB70EC"/>
    <w:rsid w:val="00AD21D2"/>
    <w:rsid w:val="00AD7F82"/>
    <w:rsid w:val="00AE023B"/>
    <w:rsid w:val="00AE2073"/>
    <w:rsid w:val="00AE5C89"/>
    <w:rsid w:val="00AF15E6"/>
    <w:rsid w:val="00AF4FE5"/>
    <w:rsid w:val="00B012A1"/>
    <w:rsid w:val="00B21D1D"/>
    <w:rsid w:val="00B23CD4"/>
    <w:rsid w:val="00B307FD"/>
    <w:rsid w:val="00B36BF1"/>
    <w:rsid w:val="00B43BCF"/>
    <w:rsid w:val="00B43DD0"/>
    <w:rsid w:val="00B45185"/>
    <w:rsid w:val="00B54572"/>
    <w:rsid w:val="00B703A7"/>
    <w:rsid w:val="00B82781"/>
    <w:rsid w:val="00B87129"/>
    <w:rsid w:val="00BA31E5"/>
    <w:rsid w:val="00BA391A"/>
    <w:rsid w:val="00BA435E"/>
    <w:rsid w:val="00BA7AE9"/>
    <w:rsid w:val="00BC072B"/>
    <w:rsid w:val="00BC738A"/>
    <w:rsid w:val="00BE15FD"/>
    <w:rsid w:val="00BF0E8C"/>
    <w:rsid w:val="00BF3F8D"/>
    <w:rsid w:val="00C0455E"/>
    <w:rsid w:val="00C109CA"/>
    <w:rsid w:val="00C12655"/>
    <w:rsid w:val="00C21264"/>
    <w:rsid w:val="00C32458"/>
    <w:rsid w:val="00C37261"/>
    <w:rsid w:val="00C379C2"/>
    <w:rsid w:val="00C405D4"/>
    <w:rsid w:val="00C40ED6"/>
    <w:rsid w:val="00C447BF"/>
    <w:rsid w:val="00C51B38"/>
    <w:rsid w:val="00C524ED"/>
    <w:rsid w:val="00C52CA8"/>
    <w:rsid w:val="00C60061"/>
    <w:rsid w:val="00C63267"/>
    <w:rsid w:val="00C709A8"/>
    <w:rsid w:val="00C74619"/>
    <w:rsid w:val="00C74AE2"/>
    <w:rsid w:val="00C8352B"/>
    <w:rsid w:val="00C8480F"/>
    <w:rsid w:val="00C906B3"/>
    <w:rsid w:val="00C925E3"/>
    <w:rsid w:val="00CA6F53"/>
    <w:rsid w:val="00CB44B0"/>
    <w:rsid w:val="00CC2D0B"/>
    <w:rsid w:val="00CC56AF"/>
    <w:rsid w:val="00CD3B01"/>
    <w:rsid w:val="00CE76CA"/>
    <w:rsid w:val="00CE7CA4"/>
    <w:rsid w:val="00D13D92"/>
    <w:rsid w:val="00D17602"/>
    <w:rsid w:val="00D2716D"/>
    <w:rsid w:val="00D27DB3"/>
    <w:rsid w:val="00D40BF9"/>
    <w:rsid w:val="00D41ECA"/>
    <w:rsid w:val="00D65E2B"/>
    <w:rsid w:val="00D91E28"/>
    <w:rsid w:val="00DA6882"/>
    <w:rsid w:val="00DC137A"/>
    <w:rsid w:val="00DC508C"/>
    <w:rsid w:val="00DC6627"/>
    <w:rsid w:val="00DE13C1"/>
    <w:rsid w:val="00E0023D"/>
    <w:rsid w:val="00E0237A"/>
    <w:rsid w:val="00E031C9"/>
    <w:rsid w:val="00E0465F"/>
    <w:rsid w:val="00E07DA0"/>
    <w:rsid w:val="00E10E23"/>
    <w:rsid w:val="00E13C26"/>
    <w:rsid w:val="00E51467"/>
    <w:rsid w:val="00E57B0F"/>
    <w:rsid w:val="00E66553"/>
    <w:rsid w:val="00E73A2F"/>
    <w:rsid w:val="00E811D1"/>
    <w:rsid w:val="00E95094"/>
    <w:rsid w:val="00EA1F5E"/>
    <w:rsid w:val="00EA3B1D"/>
    <w:rsid w:val="00EB0C4B"/>
    <w:rsid w:val="00EB3B7F"/>
    <w:rsid w:val="00EB6008"/>
    <w:rsid w:val="00EB7C32"/>
    <w:rsid w:val="00ED1E08"/>
    <w:rsid w:val="00ED42B5"/>
    <w:rsid w:val="00ED4BB9"/>
    <w:rsid w:val="00EE5665"/>
    <w:rsid w:val="00EF2CA6"/>
    <w:rsid w:val="00EF3DED"/>
    <w:rsid w:val="00EF4786"/>
    <w:rsid w:val="00EF4CE5"/>
    <w:rsid w:val="00EF4F8B"/>
    <w:rsid w:val="00EF58FC"/>
    <w:rsid w:val="00F03F08"/>
    <w:rsid w:val="00F05BA6"/>
    <w:rsid w:val="00F22C91"/>
    <w:rsid w:val="00F37DF1"/>
    <w:rsid w:val="00F40901"/>
    <w:rsid w:val="00F43CF9"/>
    <w:rsid w:val="00F63559"/>
    <w:rsid w:val="00F6764E"/>
    <w:rsid w:val="00F72807"/>
    <w:rsid w:val="00F7640D"/>
    <w:rsid w:val="00F85F51"/>
    <w:rsid w:val="00FA3D3A"/>
    <w:rsid w:val="00FB136D"/>
    <w:rsid w:val="00FB5226"/>
    <w:rsid w:val="00FB5293"/>
    <w:rsid w:val="00FB601F"/>
    <w:rsid w:val="00FC1ABA"/>
    <w:rsid w:val="00FE78B4"/>
    <w:rsid w:val="00FF1300"/>
    <w:rsid w:val="00FF36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9E7B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351DA"/>
    <w:rPr>
      <w:sz w:val="24"/>
      <w:lang w:val="en-US" w:eastAsia="en-US"/>
    </w:rPr>
  </w:style>
  <w:style w:type="paragraph" w:styleId="Heading1">
    <w:name w:val="heading 1"/>
    <w:basedOn w:val="Normal"/>
    <w:next w:val="Normal"/>
    <w:link w:val="Heading1Char"/>
    <w:uiPriority w:val="9"/>
    <w:qFormat/>
    <w:rsid w:val="00F7640D"/>
    <w:pPr>
      <w:keepNext/>
      <w:keepLines/>
      <w:spacing w:before="120"/>
      <w:jc w:val="center"/>
      <w:outlineLvl w:val="0"/>
    </w:pPr>
    <w:rPr>
      <w:rFonts w:ascii="Arial" w:eastAsiaTheme="majorEastAsia" w:hAnsi="Arial" w:cstheme="majorBidi"/>
      <w:b/>
      <w:caps/>
      <w:color w:val="000000" w:themeColor="text1"/>
      <w:sz w:val="28"/>
      <w:szCs w:val="32"/>
      <w:lang w:val="en-GB"/>
    </w:rPr>
  </w:style>
  <w:style w:type="paragraph" w:styleId="Heading2">
    <w:name w:val="heading 2"/>
    <w:basedOn w:val="Normal"/>
    <w:next w:val="Normal"/>
    <w:link w:val="Heading2Char"/>
    <w:uiPriority w:val="9"/>
    <w:unhideWhenUsed/>
    <w:qFormat/>
    <w:rsid w:val="00F7640D"/>
    <w:pPr>
      <w:keepNext/>
      <w:keepLines/>
      <w:jc w:val="center"/>
      <w:outlineLvl w:val="1"/>
    </w:pPr>
    <w:rPr>
      <w:rFonts w:ascii="Arial" w:eastAsiaTheme="majorEastAsia" w:hAnsi="Arial" w:cstheme="majorBidi"/>
      <w:b/>
      <w:color w:val="000000" w:themeColor="text1"/>
      <w:szCs w:val="26"/>
    </w:rPr>
  </w:style>
  <w:style w:type="paragraph" w:styleId="Heading3">
    <w:name w:val="heading 3"/>
    <w:basedOn w:val="Normal"/>
    <w:next w:val="Normal"/>
    <w:link w:val="Heading3Char"/>
    <w:uiPriority w:val="9"/>
    <w:unhideWhenUsed/>
    <w:qFormat/>
    <w:rsid w:val="00F7640D"/>
    <w:pPr>
      <w:keepNext/>
      <w:keepLines/>
      <w:spacing w:before="40"/>
      <w:outlineLvl w:val="2"/>
    </w:pPr>
    <w:rPr>
      <w:rFonts w:ascii="Arial" w:eastAsiaTheme="majorEastAsia" w:hAnsi="Arial" w:cstheme="majorBidi"/>
      <w:b/>
      <w:color w:val="000000" w:themeColor="text1"/>
      <w:szCs w:val="24"/>
    </w:rPr>
  </w:style>
  <w:style w:type="paragraph" w:styleId="Heading4">
    <w:name w:val="heading 4"/>
    <w:basedOn w:val="Normal"/>
    <w:next w:val="Normal"/>
    <w:link w:val="Heading4Char"/>
    <w:uiPriority w:val="9"/>
    <w:unhideWhenUsed/>
    <w:qFormat/>
    <w:rsid w:val="00F7640D"/>
    <w:pPr>
      <w:keepNext/>
      <w:keepLines/>
      <w:spacing w:before="40"/>
      <w:outlineLvl w:val="3"/>
    </w:pPr>
    <w:rPr>
      <w:rFonts w:ascii="Arial" w:eastAsiaTheme="majorEastAsia" w:hAnsi="Arial" w:cstheme="majorBidi"/>
      <w:iCs/>
      <w:color w:val="000000" w:themeColor="text1"/>
      <w:u w:val="single"/>
    </w:rPr>
  </w:style>
  <w:style w:type="paragraph" w:styleId="Heading5">
    <w:name w:val="heading 5"/>
    <w:basedOn w:val="Normal"/>
    <w:next w:val="Normal"/>
    <w:link w:val="Heading5Char"/>
    <w:uiPriority w:val="9"/>
    <w:unhideWhenUsed/>
    <w:qFormat/>
    <w:rsid w:val="00F7640D"/>
    <w:pPr>
      <w:keepNext/>
      <w:keepLines/>
      <w:spacing w:before="40"/>
      <w:outlineLvl w:val="4"/>
    </w:pPr>
    <w:rPr>
      <w:rFonts w:ascii="Arial" w:eastAsiaTheme="majorEastAsia" w:hAnsi="Arial"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7720"/>
    <w:rPr>
      <w:color w:val="0000FF" w:themeColor="hyperlink"/>
      <w:u w:val="single"/>
    </w:rPr>
  </w:style>
  <w:style w:type="paragraph" w:customStyle="1" w:styleId="Legal1">
    <w:name w:val="Legal 1"/>
    <w:basedOn w:val="Normal"/>
    <w:rsid w:val="009509E1"/>
    <w:pPr>
      <w:widowControl w:val="0"/>
    </w:pPr>
  </w:style>
  <w:style w:type="paragraph" w:customStyle="1" w:styleId="Legal2">
    <w:name w:val="Legal 2"/>
    <w:basedOn w:val="Normal"/>
    <w:rsid w:val="009509E1"/>
    <w:pPr>
      <w:widowControl w:val="0"/>
    </w:pPr>
  </w:style>
  <w:style w:type="paragraph" w:customStyle="1" w:styleId="Legal3">
    <w:name w:val="Legal 3"/>
    <w:basedOn w:val="Normal"/>
    <w:rsid w:val="009509E1"/>
    <w:pPr>
      <w:widowControl w:val="0"/>
    </w:pPr>
  </w:style>
  <w:style w:type="paragraph" w:customStyle="1" w:styleId="Legal4">
    <w:name w:val="Legal 4"/>
    <w:basedOn w:val="Normal"/>
    <w:rsid w:val="009509E1"/>
    <w:pPr>
      <w:widowControl w:val="0"/>
    </w:pPr>
  </w:style>
  <w:style w:type="paragraph" w:customStyle="1" w:styleId="Legal5">
    <w:name w:val="Legal 5"/>
    <w:basedOn w:val="Normal"/>
    <w:rsid w:val="009509E1"/>
    <w:pPr>
      <w:widowControl w:val="0"/>
    </w:pPr>
  </w:style>
  <w:style w:type="paragraph" w:customStyle="1" w:styleId="Legal6">
    <w:name w:val="Legal 6"/>
    <w:basedOn w:val="Normal"/>
    <w:rsid w:val="009509E1"/>
    <w:pPr>
      <w:widowControl w:val="0"/>
    </w:pPr>
  </w:style>
  <w:style w:type="paragraph" w:customStyle="1" w:styleId="Legal7">
    <w:name w:val="Legal 7"/>
    <w:basedOn w:val="Normal"/>
    <w:rsid w:val="009509E1"/>
    <w:pPr>
      <w:widowControl w:val="0"/>
    </w:pPr>
  </w:style>
  <w:style w:type="paragraph" w:customStyle="1" w:styleId="Legal8">
    <w:name w:val="Legal 8"/>
    <w:basedOn w:val="Normal"/>
    <w:rsid w:val="009509E1"/>
    <w:pPr>
      <w:widowControl w:val="0"/>
    </w:pPr>
  </w:style>
  <w:style w:type="paragraph" w:customStyle="1" w:styleId="Legal9">
    <w:name w:val="Legal 9"/>
    <w:basedOn w:val="Normal"/>
    <w:rsid w:val="009509E1"/>
    <w:pPr>
      <w:widowControl w:val="0"/>
    </w:pPr>
  </w:style>
  <w:style w:type="paragraph" w:styleId="FootnoteText">
    <w:name w:val="footnote text"/>
    <w:basedOn w:val="Normal"/>
    <w:semiHidden/>
    <w:rsid w:val="009509E1"/>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pPr>
  </w:style>
  <w:style w:type="character" w:styleId="FootnoteReference">
    <w:name w:val="footnote reference"/>
    <w:basedOn w:val="DefaultParagraphFont"/>
    <w:semiHidden/>
    <w:rsid w:val="009509E1"/>
    <w:rPr>
      <w:vertAlign w:val="superscript"/>
    </w:rPr>
  </w:style>
  <w:style w:type="character" w:styleId="EndnoteReference">
    <w:name w:val="endnote reference"/>
    <w:basedOn w:val="DefaultParagraphFont"/>
    <w:semiHidden/>
    <w:rsid w:val="009509E1"/>
  </w:style>
  <w:style w:type="paragraph" w:styleId="EndnoteText">
    <w:name w:val="endnote text"/>
    <w:basedOn w:val="Normal"/>
    <w:link w:val="EndnoteTextChar"/>
    <w:semiHidden/>
    <w:rsid w:val="009509E1"/>
    <w:pPr>
      <w:numPr>
        <w:numId w:val="2"/>
      </w:numPr>
      <w:jc w:val="both"/>
    </w:pPr>
    <w:rPr>
      <w:rFonts w:ascii="Garamond" w:hAnsi="Garamond"/>
      <w:sz w:val="20"/>
      <w:lang w:val="en-GB"/>
    </w:rPr>
  </w:style>
  <w:style w:type="character" w:customStyle="1" w:styleId="SYSHYPERTEXT">
    <w:name w:val="SYS_HYPERTEXT"/>
    <w:basedOn w:val="DefaultParagraphFont"/>
    <w:rsid w:val="009509E1"/>
    <w:rPr>
      <w:color w:val="0000FF"/>
      <w:u w:val="single"/>
    </w:rPr>
  </w:style>
  <w:style w:type="character" w:customStyle="1" w:styleId="EndnoteTextChar">
    <w:name w:val="Endnote Text Char"/>
    <w:basedOn w:val="DefaultParagraphFont"/>
    <w:link w:val="EndnoteText"/>
    <w:semiHidden/>
    <w:rsid w:val="00157720"/>
    <w:rPr>
      <w:rFonts w:ascii="Garamond" w:hAnsi="Garamond"/>
      <w:lang w:val="en-GB" w:eastAsia="en-US"/>
    </w:rPr>
  </w:style>
  <w:style w:type="paragraph" w:styleId="BalloonText">
    <w:name w:val="Balloon Text"/>
    <w:basedOn w:val="Normal"/>
    <w:link w:val="BalloonTextChar"/>
    <w:uiPriority w:val="99"/>
    <w:semiHidden/>
    <w:unhideWhenUsed/>
    <w:rsid w:val="00157720"/>
    <w:rPr>
      <w:rFonts w:ascii="Tahoma" w:hAnsi="Tahoma" w:cs="Tahoma"/>
      <w:sz w:val="16"/>
      <w:szCs w:val="16"/>
    </w:rPr>
  </w:style>
  <w:style w:type="character" w:customStyle="1" w:styleId="BalloonTextChar">
    <w:name w:val="Balloon Text Char"/>
    <w:basedOn w:val="DefaultParagraphFont"/>
    <w:link w:val="BalloonText"/>
    <w:uiPriority w:val="99"/>
    <w:semiHidden/>
    <w:rsid w:val="00157720"/>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351528"/>
    <w:rPr>
      <w:sz w:val="16"/>
      <w:szCs w:val="16"/>
    </w:rPr>
  </w:style>
  <w:style w:type="paragraph" w:styleId="CommentText">
    <w:name w:val="annotation text"/>
    <w:basedOn w:val="Normal"/>
    <w:link w:val="CommentTextChar"/>
    <w:uiPriority w:val="99"/>
    <w:unhideWhenUsed/>
    <w:rsid w:val="00351528"/>
    <w:rPr>
      <w:sz w:val="20"/>
    </w:rPr>
  </w:style>
  <w:style w:type="character" w:customStyle="1" w:styleId="CommentTextChar">
    <w:name w:val="Comment Text Char"/>
    <w:basedOn w:val="DefaultParagraphFont"/>
    <w:link w:val="CommentText"/>
    <w:uiPriority w:val="99"/>
    <w:rsid w:val="00351528"/>
    <w:rPr>
      <w:lang w:val="en-US" w:eastAsia="en-US"/>
    </w:rPr>
  </w:style>
  <w:style w:type="paragraph" w:styleId="CommentSubject">
    <w:name w:val="annotation subject"/>
    <w:basedOn w:val="CommentText"/>
    <w:next w:val="CommentText"/>
    <w:link w:val="CommentSubjectChar"/>
    <w:uiPriority w:val="99"/>
    <w:semiHidden/>
    <w:unhideWhenUsed/>
    <w:rsid w:val="00351528"/>
    <w:rPr>
      <w:b/>
      <w:bCs/>
    </w:rPr>
  </w:style>
  <w:style w:type="character" w:customStyle="1" w:styleId="CommentSubjectChar">
    <w:name w:val="Comment Subject Char"/>
    <w:basedOn w:val="CommentTextChar"/>
    <w:link w:val="CommentSubject"/>
    <w:uiPriority w:val="99"/>
    <w:semiHidden/>
    <w:rsid w:val="00351528"/>
    <w:rPr>
      <w:b/>
      <w:bCs/>
      <w:lang w:val="en-US" w:eastAsia="en-US"/>
    </w:rPr>
  </w:style>
  <w:style w:type="paragraph" w:customStyle="1" w:styleId="EndNoteBibliographyTitle">
    <w:name w:val="EndNote Bibliography Title"/>
    <w:basedOn w:val="Normal"/>
    <w:rsid w:val="001D1CBD"/>
    <w:pPr>
      <w:jc w:val="center"/>
    </w:pPr>
  </w:style>
  <w:style w:type="paragraph" w:customStyle="1" w:styleId="EndNoteBibliography">
    <w:name w:val="EndNote Bibliography"/>
    <w:basedOn w:val="Normal"/>
    <w:rsid w:val="001D1CBD"/>
    <w:pPr>
      <w:jc w:val="both"/>
    </w:pPr>
  </w:style>
  <w:style w:type="paragraph" w:styleId="ListParagraph">
    <w:name w:val="List Paragraph"/>
    <w:basedOn w:val="Normal"/>
    <w:uiPriority w:val="34"/>
    <w:qFormat/>
    <w:rsid w:val="00E57B0F"/>
    <w:pPr>
      <w:ind w:left="720"/>
      <w:contextualSpacing/>
    </w:pPr>
  </w:style>
  <w:style w:type="paragraph" w:styleId="Caption">
    <w:name w:val="caption"/>
    <w:basedOn w:val="Normal"/>
    <w:next w:val="Normal"/>
    <w:uiPriority w:val="35"/>
    <w:unhideWhenUsed/>
    <w:qFormat/>
    <w:rsid w:val="00F7640D"/>
    <w:pPr>
      <w:spacing w:after="200"/>
      <w:jc w:val="center"/>
    </w:pPr>
    <w:rPr>
      <w:rFonts w:ascii="Arial" w:hAnsi="Arial" w:cs="Arial"/>
      <w:bCs/>
      <w:color w:val="000000"/>
      <w:sz w:val="20"/>
      <w:szCs w:val="28"/>
    </w:rPr>
  </w:style>
  <w:style w:type="paragraph" w:styleId="Header">
    <w:name w:val="header"/>
    <w:basedOn w:val="Normal"/>
    <w:link w:val="HeaderChar"/>
    <w:uiPriority w:val="99"/>
    <w:unhideWhenUsed/>
    <w:rsid w:val="00AB4736"/>
    <w:pPr>
      <w:tabs>
        <w:tab w:val="center" w:pos="4680"/>
        <w:tab w:val="right" w:pos="9360"/>
      </w:tabs>
    </w:pPr>
  </w:style>
  <w:style w:type="character" w:customStyle="1" w:styleId="HeaderChar">
    <w:name w:val="Header Char"/>
    <w:basedOn w:val="DefaultParagraphFont"/>
    <w:link w:val="Header"/>
    <w:uiPriority w:val="99"/>
    <w:rsid w:val="00AB4736"/>
    <w:rPr>
      <w:sz w:val="24"/>
      <w:lang w:val="en-US" w:eastAsia="en-US"/>
    </w:rPr>
  </w:style>
  <w:style w:type="paragraph" w:styleId="Footer">
    <w:name w:val="footer"/>
    <w:basedOn w:val="Normal"/>
    <w:link w:val="FooterChar"/>
    <w:uiPriority w:val="99"/>
    <w:unhideWhenUsed/>
    <w:rsid w:val="00AB4736"/>
    <w:pPr>
      <w:tabs>
        <w:tab w:val="center" w:pos="4680"/>
        <w:tab w:val="right" w:pos="9360"/>
      </w:tabs>
    </w:pPr>
  </w:style>
  <w:style w:type="character" w:customStyle="1" w:styleId="FooterChar">
    <w:name w:val="Footer Char"/>
    <w:basedOn w:val="DefaultParagraphFont"/>
    <w:link w:val="Footer"/>
    <w:uiPriority w:val="99"/>
    <w:rsid w:val="00AB4736"/>
    <w:rPr>
      <w:sz w:val="24"/>
      <w:lang w:val="en-US" w:eastAsia="en-US"/>
    </w:rPr>
  </w:style>
  <w:style w:type="character" w:styleId="PageNumber">
    <w:name w:val="page number"/>
    <w:basedOn w:val="DefaultParagraphFont"/>
    <w:uiPriority w:val="99"/>
    <w:semiHidden/>
    <w:unhideWhenUsed/>
    <w:rsid w:val="007351DA"/>
  </w:style>
  <w:style w:type="character" w:customStyle="1" w:styleId="Heading1Char">
    <w:name w:val="Heading 1 Char"/>
    <w:basedOn w:val="DefaultParagraphFont"/>
    <w:link w:val="Heading1"/>
    <w:uiPriority w:val="9"/>
    <w:rsid w:val="00F7640D"/>
    <w:rPr>
      <w:rFonts w:ascii="Arial" w:eastAsiaTheme="majorEastAsia" w:hAnsi="Arial" w:cstheme="majorBidi"/>
      <w:b/>
      <w:caps/>
      <w:color w:val="000000" w:themeColor="text1"/>
      <w:sz w:val="28"/>
      <w:szCs w:val="32"/>
      <w:lang w:val="en-GB" w:eastAsia="en-US"/>
    </w:rPr>
  </w:style>
  <w:style w:type="character" w:customStyle="1" w:styleId="Heading2Char">
    <w:name w:val="Heading 2 Char"/>
    <w:basedOn w:val="DefaultParagraphFont"/>
    <w:link w:val="Heading2"/>
    <w:uiPriority w:val="9"/>
    <w:rsid w:val="00F7640D"/>
    <w:rPr>
      <w:rFonts w:ascii="Arial" w:eastAsiaTheme="majorEastAsia" w:hAnsi="Arial" w:cstheme="majorBidi"/>
      <w:b/>
      <w:color w:val="000000" w:themeColor="text1"/>
      <w:sz w:val="24"/>
      <w:szCs w:val="26"/>
      <w:lang w:val="en-US" w:eastAsia="en-US"/>
    </w:rPr>
  </w:style>
  <w:style w:type="character" w:customStyle="1" w:styleId="Heading3Char">
    <w:name w:val="Heading 3 Char"/>
    <w:basedOn w:val="DefaultParagraphFont"/>
    <w:link w:val="Heading3"/>
    <w:uiPriority w:val="9"/>
    <w:rsid w:val="00F7640D"/>
    <w:rPr>
      <w:rFonts w:ascii="Arial" w:eastAsiaTheme="majorEastAsia" w:hAnsi="Arial" w:cstheme="majorBidi"/>
      <w:b/>
      <w:color w:val="000000" w:themeColor="text1"/>
      <w:sz w:val="24"/>
      <w:szCs w:val="24"/>
      <w:lang w:val="en-US" w:eastAsia="en-US"/>
    </w:rPr>
  </w:style>
  <w:style w:type="character" w:customStyle="1" w:styleId="Heading4Char">
    <w:name w:val="Heading 4 Char"/>
    <w:basedOn w:val="DefaultParagraphFont"/>
    <w:link w:val="Heading4"/>
    <w:uiPriority w:val="9"/>
    <w:rsid w:val="00F7640D"/>
    <w:rPr>
      <w:rFonts w:ascii="Arial" w:eastAsiaTheme="majorEastAsia" w:hAnsi="Arial" w:cstheme="majorBidi"/>
      <w:iCs/>
      <w:color w:val="000000" w:themeColor="text1"/>
      <w:sz w:val="24"/>
      <w:u w:val="single"/>
      <w:lang w:val="en-US" w:eastAsia="en-US"/>
    </w:rPr>
  </w:style>
  <w:style w:type="character" w:customStyle="1" w:styleId="Heading5Char">
    <w:name w:val="Heading 5 Char"/>
    <w:basedOn w:val="DefaultParagraphFont"/>
    <w:link w:val="Heading5"/>
    <w:uiPriority w:val="9"/>
    <w:rsid w:val="00F7640D"/>
    <w:rPr>
      <w:rFonts w:ascii="Arial" w:eastAsiaTheme="majorEastAsia" w:hAnsi="Arial" w:cstheme="majorBidi"/>
      <w:i/>
      <w:color w:val="000000" w:themeColor="text1"/>
      <w:sz w:val="24"/>
      <w:lang w:val="en-US" w:eastAsia="en-US"/>
    </w:rPr>
  </w:style>
  <w:style w:type="character" w:styleId="UnresolvedMention">
    <w:name w:val="Unresolved Mention"/>
    <w:basedOn w:val="DefaultParagraphFont"/>
    <w:uiPriority w:val="99"/>
    <w:rsid w:val="00BC072B"/>
    <w:rPr>
      <w:color w:val="605E5C"/>
      <w:shd w:val="clear" w:color="auto" w:fill="E1DFDD"/>
    </w:rPr>
  </w:style>
  <w:style w:type="character" w:styleId="PlaceholderText">
    <w:name w:val="Placeholder Text"/>
    <w:basedOn w:val="DefaultParagraphFont"/>
    <w:uiPriority w:val="99"/>
    <w:semiHidden/>
    <w:rsid w:val="00AB1F94"/>
    <w:rPr>
      <w:color w:val="666666"/>
    </w:rPr>
  </w:style>
  <w:style w:type="character" w:styleId="FollowedHyperlink">
    <w:name w:val="FollowedHyperlink"/>
    <w:basedOn w:val="DefaultParagraphFont"/>
    <w:uiPriority w:val="99"/>
    <w:semiHidden/>
    <w:unhideWhenUsed/>
    <w:rsid w:val="008A5221"/>
    <w:rPr>
      <w:color w:val="800080" w:themeColor="followedHyperlink"/>
      <w:u w:val="single"/>
    </w:rPr>
  </w:style>
  <w:style w:type="table" w:styleId="TableGrid">
    <w:name w:val="Table Grid"/>
    <w:basedOn w:val="TableNormal"/>
    <w:uiPriority w:val="59"/>
    <w:rsid w:val="00B36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47CC0"/>
    <w:rPr>
      <w:sz w:val="24"/>
      <w:lang w:val="en-US" w:eastAsia="en-US"/>
    </w:rPr>
  </w:style>
  <w:style w:type="paragraph" w:styleId="NormalWeb">
    <w:name w:val="Normal (Web)"/>
    <w:basedOn w:val="Normal"/>
    <w:uiPriority w:val="99"/>
    <w:semiHidden/>
    <w:unhideWhenUsed/>
    <w:rsid w:val="000150F5"/>
    <w:pPr>
      <w:spacing w:before="100" w:beforeAutospacing="1" w:after="100" w:afterAutospacing="1"/>
    </w:pPr>
    <w:rPr>
      <w:szCs w:val="24"/>
      <w:lang w:val="en-AU" w:eastAsia="en-AU"/>
    </w:rPr>
  </w:style>
  <w:style w:type="character" w:styleId="Strong">
    <w:name w:val="Strong"/>
    <w:basedOn w:val="DefaultParagraphFont"/>
    <w:uiPriority w:val="22"/>
    <w:qFormat/>
    <w:rsid w:val="000150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090">
      <w:marLeft w:val="640"/>
      <w:marRight w:val="0"/>
      <w:marTop w:val="0"/>
      <w:marBottom w:val="0"/>
      <w:divBdr>
        <w:top w:val="none" w:sz="0" w:space="0" w:color="auto"/>
        <w:left w:val="none" w:sz="0" w:space="0" w:color="auto"/>
        <w:bottom w:val="none" w:sz="0" w:space="0" w:color="auto"/>
        <w:right w:val="none" w:sz="0" w:space="0" w:color="auto"/>
      </w:divBdr>
    </w:div>
    <w:div w:id="27266999">
      <w:marLeft w:val="640"/>
      <w:marRight w:val="0"/>
      <w:marTop w:val="0"/>
      <w:marBottom w:val="0"/>
      <w:divBdr>
        <w:top w:val="none" w:sz="0" w:space="0" w:color="auto"/>
        <w:left w:val="none" w:sz="0" w:space="0" w:color="auto"/>
        <w:bottom w:val="none" w:sz="0" w:space="0" w:color="auto"/>
        <w:right w:val="none" w:sz="0" w:space="0" w:color="auto"/>
      </w:divBdr>
    </w:div>
    <w:div w:id="31342779">
      <w:marLeft w:val="640"/>
      <w:marRight w:val="0"/>
      <w:marTop w:val="0"/>
      <w:marBottom w:val="0"/>
      <w:divBdr>
        <w:top w:val="none" w:sz="0" w:space="0" w:color="auto"/>
        <w:left w:val="none" w:sz="0" w:space="0" w:color="auto"/>
        <w:bottom w:val="none" w:sz="0" w:space="0" w:color="auto"/>
        <w:right w:val="none" w:sz="0" w:space="0" w:color="auto"/>
      </w:divBdr>
    </w:div>
    <w:div w:id="67963306">
      <w:marLeft w:val="640"/>
      <w:marRight w:val="0"/>
      <w:marTop w:val="0"/>
      <w:marBottom w:val="0"/>
      <w:divBdr>
        <w:top w:val="none" w:sz="0" w:space="0" w:color="auto"/>
        <w:left w:val="none" w:sz="0" w:space="0" w:color="auto"/>
        <w:bottom w:val="none" w:sz="0" w:space="0" w:color="auto"/>
        <w:right w:val="none" w:sz="0" w:space="0" w:color="auto"/>
      </w:divBdr>
    </w:div>
    <w:div w:id="67966014">
      <w:marLeft w:val="640"/>
      <w:marRight w:val="0"/>
      <w:marTop w:val="0"/>
      <w:marBottom w:val="0"/>
      <w:divBdr>
        <w:top w:val="none" w:sz="0" w:space="0" w:color="auto"/>
        <w:left w:val="none" w:sz="0" w:space="0" w:color="auto"/>
        <w:bottom w:val="none" w:sz="0" w:space="0" w:color="auto"/>
        <w:right w:val="none" w:sz="0" w:space="0" w:color="auto"/>
      </w:divBdr>
    </w:div>
    <w:div w:id="71857914">
      <w:marLeft w:val="640"/>
      <w:marRight w:val="0"/>
      <w:marTop w:val="0"/>
      <w:marBottom w:val="0"/>
      <w:divBdr>
        <w:top w:val="none" w:sz="0" w:space="0" w:color="auto"/>
        <w:left w:val="none" w:sz="0" w:space="0" w:color="auto"/>
        <w:bottom w:val="none" w:sz="0" w:space="0" w:color="auto"/>
        <w:right w:val="none" w:sz="0" w:space="0" w:color="auto"/>
      </w:divBdr>
    </w:div>
    <w:div w:id="72169705">
      <w:marLeft w:val="640"/>
      <w:marRight w:val="0"/>
      <w:marTop w:val="0"/>
      <w:marBottom w:val="0"/>
      <w:divBdr>
        <w:top w:val="none" w:sz="0" w:space="0" w:color="auto"/>
        <w:left w:val="none" w:sz="0" w:space="0" w:color="auto"/>
        <w:bottom w:val="none" w:sz="0" w:space="0" w:color="auto"/>
        <w:right w:val="none" w:sz="0" w:space="0" w:color="auto"/>
      </w:divBdr>
    </w:div>
    <w:div w:id="86006541">
      <w:marLeft w:val="640"/>
      <w:marRight w:val="0"/>
      <w:marTop w:val="0"/>
      <w:marBottom w:val="0"/>
      <w:divBdr>
        <w:top w:val="none" w:sz="0" w:space="0" w:color="auto"/>
        <w:left w:val="none" w:sz="0" w:space="0" w:color="auto"/>
        <w:bottom w:val="none" w:sz="0" w:space="0" w:color="auto"/>
        <w:right w:val="none" w:sz="0" w:space="0" w:color="auto"/>
      </w:divBdr>
    </w:div>
    <w:div w:id="98335661">
      <w:marLeft w:val="640"/>
      <w:marRight w:val="0"/>
      <w:marTop w:val="0"/>
      <w:marBottom w:val="0"/>
      <w:divBdr>
        <w:top w:val="none" w:sz="0" w:space="0" w:color="auto"/>
        <w:left w:val="none" w:sz="0" w:space="0" w:color="auto"/>
        <w:bottom w:val="none" w:sz="0" w:space="0" w:color="auto"/>
        <w:right w:val="none" w:sz="0" w:space="0" w:color="auto"/>
      </w:divBdr>
    </w:div>
    <w:div w:id="105470287">
      <w:marLeft w:val="640"/>
      <w:marRight w:val="0"/>
      <w:marTop w:val="0"/>
      <w:marBottom w:val="0"/>
      <w:divBdr>
        <w:top w:val="none" w:sz="0" w:space="0" w:color="auto"/>
        <w:left w:val="none" w:sz="0" w:space="0" w:color="auto"/>
        <w:bottom w:val="none" w:sz="0" w:space="0" w:color="auto"/>
        <w:right w:val="none" w:sz="0" w:space="0" w:color="auto"/>
      </w:divBdr>
    </w:div>
    <w:div w:id="113445594">
      <w:marLeft w:val="640"/>
      <w:marRight w:val="0"/>
      <w:marTop w:val="0"/>
      <w:marBottom w:val="0"/>
      <w:divBdr>
        <w:top w:val="none" w:sz="0" w:space="0" w:color="auto"/>
        <w:left w:val="none" w:sz="0" w:space="0" w:color="auto"/>
        <w:bottom w:val="none" w:sz="0" w:space="0" w:color="auto"/>
        <w:right w:val="none" w:sz="0" w:space="0" w:color="auto"/>
      </w:divBdr>
    </w:div>
    <w:div w:id="120340938">
      <w:marLeft w:val="640"/>
      <w:marRight w:val="0"/>
      <w:marTop w:val="0"/>
      <w:marBottom w:val="0"/>
      <w:divBdr>
        <w:top w:val="none" w:sz="0" w:space="0" w:color="auto"/>
        <w:left w:val="none" w:sz="0" w:space="0" w:color="auto"/>
        <w:bottom w:val="none" w:sz="0" w:space="0" w:color="auto"/>
        <w:right w:val="none" w:sz="0" w:space="0" w:color="auto"/>
      </w:divBdr>
    </w:div>
    <w:div w:id="136150662">
      <w:marLeft w:val="640"/>
      <w:marRight w:val="0"/>
      <w:marTop w:val="0"/>
      <w:marBottom w:val="0"/>
      <w:divBdr>
        <w:top w:val="none" w:sz="0" w:space="0" w:color="auto"/>
        <w:left w:val="none" w:sz="0" w:space="0" w:color="auto"/>
        <w:bottom w:val="none" w:sz="0" w:space="0" w:color="auto"/>
        <w:right w:val="none" w:sz="0" w:space="0" w:color="auto"/>
      </w:divBdr>
    </w:div>
    <w:div w:id="152531588">
      <w:marLeft w:val="640"/>
      <w:marRight w:val="0"/>
      <w:marTop w:val="0"/>
      <w:marBottom w:val="0"/>
      <w:divBdr>
        <w:top w:val="none" w:sz="0" w:space="0" w:color="auto"/>
        <w:left w:val="none" w:sz="0" w:space="0" w:color="auto"/>
        <w:bottom w:val="none" w:sz="0" w:space="0" w:color="auto"/>
        <w:right w:val="none" w:sz="0" w:space="0" w:color="auto"/>
      </w:divBdr>
    </w:div>
    <w:div w:id="158162285">
      <w:marLeft w:val="640"/>
      <w:marRight w:val="0"/>
      <w:marTop w:val="0"/>
      <w:marBottom w:val="0"/>
      <w:divBdr>
        <w:top w:val="none" w:sz="0" w:space="0" w:color="auto"/>
        <w:left w:val="none" w:sz="0" w:space="0" w:color="auto"/>
        <w:bottom w:val="none" w:sz="0" w:space="0" w:color="auto"/>
        <w:right w:val="none" w:sz="0" w:space="0" w:color="auto"/>
      </w:divBdr>
    </w:div>
    <w:div w:id="162399579">
      <w:marLeft w:val="640"/>
      <w:marRight w:val="0"/>
      <w:marTop w:val="0"/>
      <w:marBottom w:val="0"/>
      <w:divBdr>
        <w:top w:val="none" w:sz="0" w:space="0" w:color="auto"/>
        <w:left w:val="none" w:sz="0" w:space="0" w:color="auto"/>
        <w:bottom w:val="none" w:sz="0" w:space="0" w:color="auto"/>
        <w:right w:val="none" w:sz="0" w:space="0" w:color="auto"/>
      </w:divBdr>
    </w:div>
    <w:div w:id="166864639">
      <w:marLeft w:val="640"/>
      <w:marRight w:val="0"/>
      <w:marTop w:val="0"/>
      <w:marBottom w:val="0"/>
      <w:divBdr>
        <w:top w:val="none" w:sz="0" w:space="0" w:color="auto"/>
        <w:left w:val="none" w:sz="0" w:space="0" w:color="auto"/>
        <w:bottom w:val="none" w:sz="0" w:space="0" w:color="auto"/>
        <w:right w:val="none" w:sz="0" w:space="0" w:color="auto"/>
      </w:divBdr>
    </w:div>
    <w:div w:id="182477386">
      <w:marLeft w:val="640"/>
      <w:marRight w:val="0"/>
      <w:marTop w:val="0"/>
      <w:marBottom w:val="0"/>
      <w:divBdr>
        <w:top w:val="none" w:sz="0" w:space="0" w:color="auto"/>
        <w:left w:val="none" w:sz="0" w:space="0" w:color="auto"/>
        <w:bottom w:val="none" w:sz="0" w:space="0" w:color="auto"/>
        <w:right w:val="none" w:sz="0" w:space="0" w:color="auto"/>
      </w:divBdr>
    </w:div>
    <w:div w:id="195117639">
      <w:marLeft w:val="640"/>
      <w:marRight w:val="0"/>
      <w:marTop w:val="0"/>
      <w:marBottom w:val="0"/>
      <w:divBdr>
        <w:top w:val="none" w:sz="0" w:space="0" w:color="auto"/>
        <w:left w:val="none" w:sz="0" w:space="0" w:color="auto"/>
        <w:bottom w:val="none" w:sz="0" w:space="0" w:color="auto"/>
        <w:right w:val="none" w:sz="0" w:space="0" w:color="auto"/>
      </w:divBdr>
    </w:div>
    <w:div w:id="218710273">
      <w:marLeft w:val="640"/>
      <w:marRight w:val="0"/>
      <w:marTop w:val="0"/>
      <w:marBottom w:val="0"/>
      <w:divBdr>
        <w:top w:val="none" w:sz="0" w:space="0" w:color="auto"/>
        <w:left w:val="none" w:sz="0" w:space="0" w:color="auto"/>
        <w:bottom w:val="none" w:sz="0" w:space="0" w:color="auto"/>
        <w:right w:val="none" w:sz="0" w:space="0" w:color="auto"/>
      </w:divBdr>
    </w:div>
    <w:div w:id="219219746">
      <w:marLeft w:val="640"/>
      <w:marRight w:val="0"/>
      <w:marTop w:val="0"/>
      <w:marBottom w:val="0"/>
      <w:divBdr>
        <w:top w:val="none" w:sz="0" w:space="0" w:color="auto"/>
        <w:left w:val="none" w:sz="0" w:space="0" w:color="auto"/>
        <w:bottom w:val="none" w:sz="0" w:space="0" w:color="auto"/>
        <w:right w:val="none" w:sz="0" w:space="0" w:color="auto"/>
      </w:divBdr>
    </w:div>
    <w:div w:id="222837343">
      <w:marLeft w:val="640"/>
      <w:marRight w:val="0"/>
      <w:marTop w:val="0"/>
      <w:marBottom w:val="0"/>
      <w:divBdr>
        <w:top w:val="none" w:sz="0" w:space="0" w:color="auto"/>
        <w:left w:val="none" w:sz="0" w:space="0" w:color="auto"/>
        <w:bottom w:val="none" w:sz="0" w:space="0" w:color="auto"/>
        <w:right w:val="none" w:sz="0" w:space="0" w:color="auto"/>
      </w:divBdr>
    </w:div>
    <w:div w:id="235865812">
      <w:marLeft w:val="640"/>
      <w:marRight w:val="0"/>
      <w:marTop w:val="0"/>
      <w:marBottom w:val="0"/>
      <w:divBdr>
        <w:top w:val="none" w:sz="0" w:space="0" w:color="auto"/>
        <w:left w:val="none" w:sz="0" w:space="0" w:color="auto"/>
        <w:bottom w:val="none" w:sz="0" w:space="0" w:color="auto"/>
        <w:right w:val="none" w:sz="0" w:space="0" w:color="auto"/>
      </w:divBdr>
    </w:div>
    <w:div w:id="237326096">
      <w:marLeft w:val="640"/>
      <w:marRight w:val="0"/>
      <w:marTop w:val="0"/>
      <w:marBottom w:val="0"/>
      <w:divBdr>
        <w:top w:val="none" w:sz="0" w:space="0" w:color="auto"/>
        <w:left w:val="none" w:sz="0" w:space="0" w:color="auto"/>
        <w:bottom w:val="none" w:sz="0" w:space="0" w:color="auto"/>
        <w:right w:val="none" w:sz="0" w:space="0" w:color="auto"/>
      </w:divBdr>
    </w:div>
    <w:div w:id="262542155">
      <w:marLeft w:val="640"/>
      <w:marRight w:val="0"/>
      <w:marTop w:val="0"/>
      <w:marBottom w:val="0"/>
      <w:divBdr>
        <w:top w:val="none" w:sz="0" w:space="0" w:color="auto"/>
        <w:left w:val="none" w:sz="0" w:space="0" w:color="auto"/>
        <w:bottom w:val="none" w:sz="0" w:space="0" w:color="auto"/>
        <w:right w:val="none" w:sz="0" w:space="0" w:color="auto"/>
      </w:divBdr>
    </w:div>
    <w:div w:id="290134450">
      <w:marLeft w:val="640"/>
      <w:marRight w:val="0"/>
      <w:marTop w:val="0"/>
      <w:marBottom w:val="0"/>
      <w:divBdr>
        <w:top w:val="none" w:sz="0" w:space="0" w:color="auto"/>
        <w:left w:val="none" w:sz="0" w:space="0" w:color="auto"/>
        <w:bottom w:val="none" w:sz="0" w:space="0" w:color="auto"/>
        <w:right w:val="none" w:sz="0" w:space="0" w:color="auto"/>
      </w:divBdr>
    </w:div>
    <w:div w:id="313532830">
      <w:marLeft w:val="640"/>
      <w:marRight w:val="0"/>
      <w:marTop w:val="0"/>
      <w:marBottom w:val="0"/>
      <w:divBdr>
        <w:top w:val="none" w:sz="0" w:space="0" w:color="auto"/>
        <w:left w:val="none" w:sz="0" w:space="0" w:color="auto"/>
        <w:bottom w:val="none" w:sz="0" w:space="0" w:color="auto"/>
        <w:right w:val="none" w:sz="0" w:space="0" w:color="auto"/>
      </w:divBdr>
    </w:div>
    <w:div w:id="345210105">
      <w:marLeft w:val="640"/>
      <w:marRight w:val="0"/>
      <w:marTop w:val="0"/>
      <w:marBottom w:val="0"/>
      <w:divBdr>
        <w:top w:val="none" w:sz="0" w:space="0" w:color="auto"/>
        <w:left w:val="none" w:sz="0" w:space="0" w:color="auto"/>
        <w:bottom w:val="none" w:sz="0" w:space="0" w:color="auto"/>
        <w:right w:val="none" w:sz="0" w:space="0" w:color="auto"/>
      </w:divBdr>
    </w:div>
    <w:div w:id="349989265">
      <w:marLeft w:val="640"/>
      <w:marRight w:val="0"/>
      <w:marTop w:val="0"/>
      <w:marBottom w:val="0"/>
      <w:divBdr>
        <w:top w:val="none" w:sz="0" w:space="0" w:color="auto"/>
        <w:left w:val="none" w:sz="0" w:space="0" w:color="auto"/>
        <w:bottom w:val="none" w:sz="0" w:space="0" w:color="auto"/>
        <w:right w:val="none" w:sz="0" w:space="0" w:color="auto"/>
      </w:divBdr>
    </w:div>
    <w:div w:id="365181915">
      <w:marLeft w:val="640"/>
      <w:marRight w:val="0"/>
      <w:marTop w:val="0"/>
      <w:marBottom w:val="0"/>
      <w:divBdr>
        <w:top w:val="none" w:sz="0" w:space="0" w:color="auto"/>
        <w:left w:val="none" w:sz="0" w:space="0" w:color="auto"/>
        <w:bottom w:val="none" w:sz="0" w:space="0" w:color="auto"/>
        <w:right w:val="none" w:sz="0" w:space="0" w:color="auto"/>
      </w:divBdr>
    </w:div>
    <w:div w:id="394280722">
      <w:marLeft w:val="640"/>
      <w:marRight w:val="0"/>
      <w:marTop w:val="0"/>
      <w:marBottom w:val="0"/>
      <w:divBdr>
        <w:top w:val="none" w:sz="0" w:space="0" w:color="auto"/>
        <w:left w:val="none" w:sz="0" w:space="0" w:color="auto"/>
        <w:bottom w:val="none" w:sz="0" w:space="0" w:color="auto"/>
        <w:right w:val="none" w:sz="0" w:space="0" w:color="auto"/>
      </w:divBdr>
    </w:div>
    <w:div w:id="454566117">
      <w:marLeft w:val="640"/>
      <w:marRight w:val="0"/>
      <w:marTop w:val="0"/>
      <w:marBottom w:val="0"/>
      <w:divBdr>
        <w:top w:val="none" w:sz="0" w:space="0" w:color="auto"/>
        <w:left w:val="none" w:sz="0" w:space="0" w:color="auto"/>
        <w:bottom w:val="none" w:sz="0" w:space="0" w:color="auto"/>
        <w:right w:val="none" w:sz="0" w:space="0" w:color="auto"/>
      </w:divBdr>
    </w:div>
    <w:div w:id="457452823">
      <w:marLeft w:val="640"/>
      <w:marRight w:val="0"/>
      <w:marTop w:val="0"/>
      <w:marBottom w:val="0"/>
      <w:divBdr>
        <w:top w:val="none" w:sz="0" w:space="0" w:color="auto"/>
        <w:left w:val="none" w:sz="0" w:space="0" w:color="auto"/>
        <w:bottom w:val="none" w:sz="0" w:space="0" w:color="auto"/>
        <w:right w:val="none" w:sz="0" w:space="0" w:color="auto"/>
      </w:divBdr>
    </w:div>
    <w:div w:id="468598747">
      <w:marLeft w:val="640"/>
      <w:marRight w:val="0"/>
      <w:marTop w:val="0"/>
      <w:marBottom w:val="0"/>
      <w:divBdr>
        <w:top w:val="none" w:sz="0" w:space="0" w:color="auto"/>
        <w:left w:val="none" w:sz="0" w:space="0" w:color="auto"/>
        <w:bottom w:val="none" w:sz="0" w:space="0" w:color="auto"/>
        <w:right w:val="none" w:sz="0" w:space="0" w:color="auto"/>
      </w:divBdr>
    </w:div>
    <w:div w:id="499201046">
      <w:marLeft w:val="640"/>
      <w:marRight w:val="0"/>
      <w:marTop w:val="0"/>
      <w:marBottom w:val="0"/>
      <w:divBdr>
        <w:top w:val="none" w:sz="0" w:space="0" w:color="auto"/>
        <w:left w:val="none" w:sz="0" w:space="0" w:color="auto"/>
        <w:bottom w:val="none" w:sz="0" w:space="0" w:color="auto"/>
        <w:right w:val="none" w:sz="0" w:space="0" w:color="auto"/>
      </w:divBdr>
    </w:div>
    <w:div w:id="510069290">
      <w:marLeft w:val="640"/>
      <w:marRight w:val="0"/>
      <w:marTop w:val="0"/>
      <w:marBottom w:val="0"/>
      <w:divBdr>
        <w:top w:val="none" w:sz="0" w:space="0" w:color="auto"/>
        <w:left w:val="none" w:sz="0" w:space="0" w:color="auto"/>
        <w:bottom w:val="none" w:sz="0" w:space="0" w:color="auto"/>
        <w:right w:val="none" w:sz="0" w:space="0" w:color="auto"/>
      </w:divBdr>
    </w:div>
    <w:div w:id="520245127">
      <w:marLeft w:val="640"/>
      <w:marRight w:val="0"/>
      <w:marTop w:val="0"/>
      <w:marBottom w:val="0"/>
      <w:divBdr>
        <w:top w:val="none" w:sz="0" w:space="0" w:color="auto"/>
        <w:left w:val="none" w:sz="0" w:space="0" w:color="auto"/>
        <w:bottom w:val="none" w:sz="0" w:space="0" w:color="auto"/>
        <w:right w:val="none" w:sz="0" w:space="0" w:color="auto"/>
      </w:divBdr>
    </w:div>
    <w:div w:id="529026541">
      <w:marLeft w:val="640"/>
      <w:marRight w:val="0"/>
      <w:marTop w:val="0"/>
      <w:marBottom w:val="0"/>
      <w:divBdr>
        <w:top w:val="none" w:sz="0" w:space="0" w:color="auto"/>
        <w:left w:val="none" w:sz="0" w:space="0" w:color="auto"/>
        <w:bottom w:val="none" w:sz="0" w:space="0" w:color="auto"/>
        <w:right w:val="none" w:sz="0" w:space="0" w:color="auto"/>
      </w:divBdr>
    </w:div>
    <w:div w:id="545145467">
      <w:marLeft w:val="640"/>
      <w:marRight w:val="0"/>
      <w:marTop w:val="0"/>
      <w:marBottom w:val="0"/>
      <w:divBdr>
        <w:top w:val="none" w:sz="0" w:space="0" w:color="auto"/>
        <w:left w:val="none" w:sz="0" w:space="0" w:color="auto"/>
        <w:bottom w:val="none" w:sz="0" w:space="0" w:color="auto"/>
        <w:right w:val="none" w:sz="0" w:space="0" w:color="auto"/>
      </w:divBdr>
    </w:div>
    <w:div w:id="551574776">
      <w:marLeft w:val="640"/>
      <w:marRight w:val="0"/>
      <w:marTop w:val="0"/>
      <w:marBottom w:val="0"/>
      <w:divBdr>
        <w:top w:val="none" w:sz="0" w:space="0" w:color="auto"/>
        <w:left w:val="none" w:sz="0" w:space="0" w:color="auto"/>
        <w:bottom w:val="none" w:sz="0" w:space="0" w:color="auto"/>
        <w:right w:val="none" w:sz="0" w:space="0" w:color="auto"/>
      </w:divBdr>
    </w:div>
    <w:div w:id="559367228">
      <w:marLeft w:val="640"/>
      <w:marRight w:val="0"/>
      <w:marTop w:val="0"/>
      <w:marBottom w:val="0"/>
      <w:divBdr>
        <w:top w:val="none" w:sz="0" w:space="0" w:color="auto"/>
        <w:left w:val="none" w:sz="0" w:space="0" w:color="auto"/>
        <w:bottom w:val="none" w:sz="0" w:space="0" w:color="auto"/>
        <w:right w:val="none" w:sz="0" w:space="0" w:color="auto"/>
      </w:divBdr>
    </w:div>
    <w:div w:id="559563820">
      <w:marLeft w:val="640"/>
      <w:marRight w:val="0"/>
      <w:marTop w:val="0"/>
      <w:marBottom w:val="0"/>
      <w:divBdr>
        <w:top w:val="none" w:sz="0" w:space="0" w:color="auto"/>
        <w:left w:val="none" w:sz="0" w:space="0" w:color="auto"/>
        <w:bottom w:val="none" w:sz="0" w:space="0" w:color="auto"/>
        <w:right w:val="none" w:sz="0" w:space="0" w:color="auto"/>
      </w:divBdr>
    </w:div>
    <w:div w:id="573320449">
      <w:marLeft w:val="640"/>
      <w:marRight w:val="0"/>
      <w:marTop w:val="0"/>
      <w:marBottom w:val="0"/>
      <w:divBdr>
        <w:top w:val="none" w:sz="0" w:space="0" w:color="auto"/>
        <w:left w:val="none" w:sz="0" w:space="0" w:color="auto"/>
        <w:bottom w:val="none" w:sz="0" w:space="0" w:color="auto"/>
        <w:right w:val="none" w:sz="0" w:space="0" w:color="auto"/>
      </w:divBdr>
    </w:div>
    <w:div w:id="575012984">
      <w:marLeft w:val="640"/>
      <w:marRight w:val="0"/>
      <w:marTop w:val="0"/>
      <w:marBottom w:val="0"/>
      <w:divBdr>
        <w:top w:val="none" w:sz="0" w:space="0" w:color="auto"/>
        <w:left w:val="none" w:sz="0" w:space="0" w:color="auto"/>
        <w:bottom w:val="none" w:sz="0" w:space="0" w:color="auto"/>
        <w:right w:val="none" w:sz="0" w:space="0" w:color="auto"/>
      </w:divBdr>
    </w:div>
    <w:div w:id="591742678">
      <w:marLeft w:val="640"/>
      <w:marRight w:val="0"/>
      <w:marTop w:val="0"/>
      <w:marBottom w:val="0"/>
      <w:divBdr>
        <w:top w:val="none" w:sz="0" w:space="0" w:color="auto"/>
        <w:left w:val="none" w:sz="0" w:space="0" w:color="auto"/>
        <w:bottom w:val="none" w:sz="0" w:space="0" w:color="auto"/>
        <w:right w:val="none" w:sz="0" w:space="0" w:color="auto"/>
      </w:divBdr>
    </w:div>
    <w:div w:id="595410370">
      <w:marLeft w:val="640"/>
      <w:marRight w:val="0"/>
      <w:marTop w:val="0"/>
      <w:marBottom w:val="0"/>
      <w:divBdr>
        <w:top w:val="none" w:sz="0" w:space="0" w:color="auto"/>
        <w:left w:val="none" w:sz="0" w:space="0" w:color="auto"/>
        <w:bottom w:val="none" w:sz="0" w:space="0" w:color="auto"/>
        <w:right w:val="none" w:sz="0" w:space="0" w:color="auto"/>
      </w:divBdr>
    </w:div>
    <w:div w:id="613177643">
      <w:marLeft w:val="640"/>
      <w:marRight w:val="0"/>
      <w:marTop w:val="0"/>
      <w:marBottom w:val="0"/>
      <w:divBdr>
        <w:top w:val="none" w:sz="0" w:space="0" w:color="auto"/>
        <w:left w:val="none" w:sz="0" w:space="0" w:color="auto"/>
        <w:bottom w:val="none" w:sz="0" w:space="0" w:color="auto"/>
        <w:right w:val="none" w:sz="0" w:space="0" w:color="auto"/>
      </w:divBdr>
    </w:div>
    <w:div w:id="622349561">
      <w:marLeft w:val="640"/>
      <w:marRight w:val="0"/>
      <w:marTop w:val="0"/>
      <w:marBottom w:val="0"/>
      <w:divBdr>
        <w:top w:val="none" w:sz="0" w:space="0" w:color="auto"/>
        <w:left w:val="none" w:sz="0" w:space="0" w:color="auto"/>
        <w:bottom w:val="none" w:sz="0" w:space="0" w:color="auto"/>
        <w:right w:val="none" w:sz="0" w:space="0" w:color="auto"/>
      </w:divBdr>
    </w:div>
    <w:div w:id="630718695">
      <w:marLeft w:val="640"/>
      <w:marRight w:val="0"/>
      <w:marTop w:val="0"/>
      <w:marBottom w:val="0"/>
      <w:divBdr>
        <w:top w:val="none" w:sz="0" w:space="0" w:color="auto"/>
        <w:left w:val="none" w:sz="0" w:space="0" w:color="auto"/>
        <w:bottom w:val="none" w:sz="0" w:space="0" w:color="auto"/>
        <w:right w:val="none" w:sz="0" w:space="0" w:color="auto"/>
      </w:divBdr>
    </w:div>
    <w:div w:id="649289060">
      <w:marLeft w:val="640"/>
      <w:marRight w:val="0"/>
      <w:marTop w:val="0"/>
      <w:marBottom w:val="0"/>
      <w:divBdr>
        <w:top w:val="none" w:sz="0" w:space="0" w:color="auto"/>
        <w:left w:val="none" w:sz="0" w:space="0" w:color="auto"/>
        <w:bottom w:val="none" w:sz="0" w:space="0" w:color="auto"/>
        <w:right w:val="none" w:sz="0" w:space="0" w:color="auto"/>
      </w:divBdr>
    </w:div>
    <w:div w:id="651637452">
      <w:marLeft w:val="640"/>
      <w:marRight w:val="0"/>
      <w:marTop w:val="0"/>
      <w:marBottom w:val="0"/>
      <w:divBdr>
        <w:top w:val="none" w:sz="0" w:space="0" w:color="auto"/>
        <w:left w:val="none" w:sz="0" w:space="0" w:color="auto"/>
        <w:bottom w:val="none" w:sz="0" w:space="0" w:color="auto"/>
        <w:right w:val="none" w:sz="0" w:space="0" w:color="auto"/>
      </w:divBdr>
    </w:div>
    <w:div w:id="656030068">
      <w:marLeft w:val="640"/>
      <w:marRight w:val="0"/>
      <w:marTop w:val="0"/>
      <w:marBottom w:val="0"/>
      <w:divBdr>
        <w:top w:val="none" w:sz="0" w:space="0" w:color="auto"/>
        <w:left w:val="none" w:sz="0" w:space="0" w:color="auto"/>
        <w:bottom w:val="none" w:sz="0" w:space="0" w:color="auto"/>
        <w:right w:val="none" w:sz="0" w:space="0" w:color="auto"/>
      </w:divBdr>
    </w:div>
    <w:div w:id="657461750">
      <w:marLeft w:val="640"/>
      <w:marRight w:val="0"/>
      <w:marTop w:val="0"/>
      <w:marBottom w:val="0"/>
      <w:divBdr>
        <w:top w:val="none" w:sz="0" w:space="0" w:color="auto"/>
        <w:left w:val="none" w:sz="0" w:space="0" w:color="auto"/>
        <w:bottom w:val="none" w:sz="0" w:space="0" w:color="auto"/>
        <w:right w:val="none" w:sz="0" w:space="0" w:color="auto"/>
      </w:divBdr>
    </w:div>
    <w:div w:id="663165283">
      <w:marLeft w:val="640"/>
      <w:marRight w:val="0"/>
      <w:marTop w:val="0"/>
      <w:marBottom w:val="0"/>
      <w:divBdr>
        <w:top w:val="none" w:sz="0" w:space="0" w:color="auto"/>
        <w:left w:val="none" w:sz="0" w:space="0" w:color="auto"/>
        <w:bottom w:val="none" w:sz="0" w:space="0" w:color="auto"/>
        <w:right w:val="none" w:sz="0" w:space="0" w:color="auto"/>
      </w:divBdr>
    </w:div>
    <w:div w:id="675884825">
      <w:marLeft w:val="640"/>
      <w:marRight w:val="0"/>
      <w:marTop w:val="0"/>
      <w:marBottom w:val="0"/>
      <w:divBdr>
        <w:top w:val="none" w:sz="0" w:space="0" w:color="auto"/>
        <w:left w:val="none" w:sz="0" w:space="0" w:color="auto"/>
        <w:bottom w:val="none" w:sz="0" w:space="0" w:color="auto"/>
        <w:right w:val="none" w:sz="0" w:space="0" w:color="auto"/>
      </w:divBdr>
    </w:div>
    <w:div w:id="704138004">
      <w:marLeft w:val="640"/>
      <w:marRight w:val="0"/>
      <w:marTop w:val="0"/>
      <w:marBottom w:val="0"/>
      <w:divBdr>
        <w:top w:val="none" w:sz="0" w:space="0" w:color="auto"/>
        <w:left w:val="none" w:sz="0" w:space="0" w:color="auto"/>
        <w:bottom w:val="none" w:sz="0" w:space="0" w:color="auto"/>
        <w:right w:val="none" w:sz="0" w:space="0" w:color="auto"/>
      </w:divBdr>
    </w:div>
    <w:div w:id="719207091">
      <w:marLeft w:val="640"/>
      <w:marRight w:val="0"/>
      <w:marTop w:val="0"/>
      <w:marBottom w:val="0"/>
      <w:divBdr>
        <w:top w:val="none" w:sz="0" w:space="0" w:color="auto"/>
        <w:left w:val="none" w:sz="0" w:space="0" w:color="auto"/>
        <w:bottom w:val="none" w:sz="0" w:space="0" w:color="auto"/>
        <w:right w:val="none" w:sz="0" w:space="0" w:color="auto"/>
      </w:divBdr>
    </w:div>
    <w:div w:id="735473049">
      <w:marLeft w:val="640"/>
      <w:marRight w:val="0"/>
      <w:marTop w:val="0"/>
      <w:marBottom w:val="0"/>
      <w:divBdr>
        <w:top w:val="none" w:sz="0" w:space="0" w:color="auto"/>
        <w:left w:val="none" w:sz="0" w:space="0" w:color="auto"/>
        <w:bottom w:val="none" w:sz="0" w:space="0" w:color="auto"/>
        <w:right w:val="none" w:sz="0" w:space="0" w:color="auto"/>
      </w:divBdr>
    </w:div>
    <w:div w:id="744380319">
      <w:marLeft w:val="640"/>
      <w:marRight w:val="0"/>
      <w:marTop w:val="0"/>
      <w:marBottom w:val="0"/>
      <w:divBdr>
        <w:top w:val="none" w:sz="0" w:space="0" w:color="auto"/>
        <w:left w:val="none" w:sz="0" w:space="0" w:color="auto"/>
        <w:bottom w:val="none" w:sz="0" w:space="0" w:color="auto"/>
        <w:right w:val="none" w:sz="0" w:space="0" w:color="auto"/>
      </w:divBdr>
    </w:div>
    <w:div w:id="749277034">
      <w:marLeft w:val="640"/>
      <w:marRight w:val="0"/>
      <w:marTop w:val="0"/>
      <w:marBottom w:val="0"/>
      <w:divBdr>
        <w:top w:val="none" w:sz="0" w:space="0" w:color="auto"/>
        <w:left w:val="none" w:sz="0" w:space="0" w:color="auto"/>
        <w:bottom w:val="none" w:sz="0" w:space="0" w:color="auto"/>
        <w:right w:val="none" w:sz="0" w:space="0" w:color="auto"/>
      </w:divBdr>
    </w:div>
    <w:div w:id="772745905">
      <w:marLeft w:val="640"/>
      <w:marRight w:val="0"/>
      <w:marTop w:val="0"/>
      <w:marBottom w:val="0"/>
      <w:divBdr>
        <w:top w:val="none" w:sz="0" w:space="0" w:color="auto"/>
        <w:left w:val="none" w:sz="0" w:space="0" w:color="auto"/>
        <w:bottom w:val="none" w:sz="0" w:space="0" w:color="auto"/>
        <w:right w:val="none" w:sz="0" w:space="0" w:color="auto"/>
      </w:divBdr>
    </w:div>
    <w:div w:id="790788382">
      <w:marLeft w:val="640"/>
      <w:marRight w:val="0"/>
      <w:marTop w:val="0"/>
      <w:marBottom w:val="0"/>
      <w:divBdr>
        <w:top w:val="none" w:sz="0" w:space="0" w:color="auto"/>
        <w:left w:val="none" w:sz="0" w:space="0" w:color="auto"/>
        <w:bottom w:val="none" w:sz="0" w:space="0" w:color="auto"/>
        <w:right w:val="none" w:sz="0" w:space="0" w:color="auto"/>
      </w:divBdr>
    </w:div>
    <w:div w:id="795638970">
      <w:marLeft w:val="640"/>
      <w:marRight w:val="0"/>
      <w:marTop w:val="0"/>
      <w:marBottom w:val="0"/>
      <w:divBdr>
        <w:top w:val="none" w:sz="0" w:space="0" w:color="auto"/>
        <w:left w:val="none" w:sz="0" w:space="0" w:color="auto"/>
        <w:bottom w:val="none" w:sz="0" w:space="0" w:color="auto"/>
        <w:right w:val="none" w:sz="0" w:space="0" w:color="auto"/>
      </w:divBdr>
    </w:div>
    <w:div w:id="797451804">
      <w:marLeft w:val="640"/>
      <w:marRight w:val="0"/>
      <w:marTop w:val="0"/>
      <w:marBottom w:val="0"/>
      <w:divBdr>
        <w:top w:val="none" w:sz="0" w:space="0" w:color="auto"/>
        <w:left w:val="none" w:sz="0" w:space="0" w:color="auto"/>
        <w:bottom w:val="none" w:sz="0" w:space="0" w:color="auto"/>
        <w:right w:val="none" w:sz="0" w:space="0" w:color="auto"/>
      </w:divBdr>
    </w:div>
    <w:div w:id="826433501">
      <w:marLeft w:val="640"/>
      <w:marRight w:val="0"/>
      <w:marTop w:val="0"/>
      <w:marBottom w:val="0"/>
      <w:divBdr>
        <w:top w:val="none" w:sz="0" w:space="0" w:color="auto"/>
        <w:left w:val="none" w:sz="0" w:space="0" w:color="auto"/>
        <w:bottom w:val="none" w:sz="0" w:space="0" w:color="auto"/>
        <w:right w:val="none" w:sz="0" w:space="0" w:color="auto"/>
      </w:divBdr>
    </w:div>
    <w:div w:id="831525338">
      <w:marLeft w:val="640"/>
      <w:marRight w:val="0"/>
      <w:marTop w:val="0"/>
      <w:marBottom w:val="0"/>
      <w:divBdr>
        <w:top w:val="none" w:sz="0" w:space="0" w:color="auto"/>
        <w:left w:val="none" w:sz="0" w:space="0" w:color="auto"/>
        <w:bottom w:val="none" w:sz="0" w:space="0" w:color="auto"/>
        <w:right w:val="none" w:sz="0" w:space="0" w:color="auto"/>
      </w:divBdr>
    </w:div>
    <w:div w:id="847986455">
      <w:marLeft w:val="640"/>
      <w:marRight w:val="0"/>
      <w:marTop w:val="0"/>
      <w:marBottom w:val="0"/>
      <w:divBdr>
        <w:top w:val="none" w:sz="0" w:space="0" w:color="auto"/>
        <w:left w:val="none" w:sz="0" w:space="0" w:color="auto"/>
        <w:bottom w:val="none" w:sz="0" w:space="0" w:color="auto"/>
        <w:right w:val="none" w:sz="0" w:space="0" w:color="auto"/>
      </w:divBdr>
    </w:div>
    <w:div w:id="851072231">
      <w:marLeft w:val="640"/>
      <w:marRight w:val="0"/>
      <w:marTop w:val="0"/>
      <w:marBottom w:val="0"/>
      <w:divBdr>
        <w:top w:val="none" w:sz="0" w:space="0" w:color="auto"/>
        <w:left w:val="none" w:sz="0" w:space="0" w:color="auto"/>
        <w:bottom w:val="none" w:sz="0" w:space="0" w:color="auto"/>
        <w:right w:val="none" w:sz="0" w:space="0" w:color="auto"/>
      </w:divBdr>
    </w:div>
    <w:div w:id="854005767">
      <w:marLeft w:val="640"/>
      <w:marRight w:val="0"/>
      <w:marTop w:val="0"/>
      <w:marBottom w:val="0"/>
      <w:divBdr>
        <w:top w:val="none" w:sz="0" w:space="0" w:color="auto"/>
        <w:left w:val="none" w:sz="0" w:space="0" w:color="auto"/>
        <w:bottom w:val="none" w:sz="0" w:space="0" w:color="auto"/>
        <w:right w:val="none" w:sz="0" w:space="0" w:color="auto"/>
      </w:divBdr>
    </w:div>
    <w:div w:id="859467450">
      <w:marLeft w:val="640"/>
      <w:marRight w:val="0"/>
      <w:marTop w:val="0"/>
      <w:marBottom w:val="0"/>
      <w:divBdr>
        <w:top w:val="none" w:sz="0" w:space="0" w:color="auto"/>
        <w:left w:val="none" w:sz="0" w:space="0" w:color="auto"/>
        <w:bottom w:val="none" w:sz="0" w:space="0" w:color="auto"/>
        <w:right w:val="none" w:sz="0" w:space="0" w:color="auto"/>
      </w:divBdr>
    </w:div>
    <w:div w:id="872962052">
      <w:marLeft w:val="640"/>
      <w:marRight w:val="0"/>
      <w:marTop w:val="0"/>
      <w:marBottom w:val="0"/>
      <w:divBdr>
        <w:top w:val="none" w:sz="0" w:space="0" w:color="auto"/>
        <w:left w:val="none" w:sz="0" w:space="0" w:color="auto"/>
        <w:bottom w:val="none" w:sz="0" w:space="0" w:color="auto"/>
        <w:right w:val="none" w:sz="0" w:space="0" w:color="auto"/>
      </w:divBdr>
    </w:div>
    <w:div w:id="875584279">
      <w:marLeft w:val="640"/>
      <w:marRight w:val="0"/>
      <w:marTop w:val="0"/>
      <w:marBottom w:val="0"/>
      <w:divBdr>
        <w:top w:val="none" w:sz="0" w:space="0" w:color="auto"/>
        <w:left w:val="none" w:sz="0" w:space="0" w:color="auto"/>
        <w:bottom w:val="none" w:sz="0" w:space="0" w:color="auto"/>
        <w:right w:val="none" w:sz="0" w:space="0" w:color="auto"/>
      </w:divBdr>
    </w:div>
    <w:div w:id="904486606">
      <w:marLeft w:val="640"/>
      <w:marRight w:val="0"/>
      <w:marTop w:val="0"/>
      <w:marBottom w:val="0"/>
      <w:divBdr>
        <w:top w:val="none" w:sz="0" w:space="0" w:color="auto"/>
        <w:left w:val="none" w:sz="0" w:space="0" w:color="auto"/>
        <w:bottom w:val="none" w:sz="0" w:space="0" w:color="auto"/>
        <w:right w:val="none" w:sz="0" w:space="0" w:color="auto"/>
      </w:divBdr>
    </w:div>
    <w:div w:id="914053717">
      <w:marLeft w:val="640"/>
      <w:marRight w:val="0"/>
      <w:marTop w:val="0"/>
      <w:marBottom w:val="0"/>
      <w:divBdr>
        <w:top w:val="none" w:sz="0" w:space="0" w:color="auto"/>
        <w:left w:val="none" w:sz="0" w:space="0" w:color="auto"/>
        <w:bottom w:val="none" w:sz="0" w:space="0" w:color="auto"/>
        <w:right w:val="none" w:sz="0" w:space="0" w:color="auto"/>
      </w:divBdr>
    </w:div>
    <w:div w:id="921061124">
      <w:marLeft w:val="640"/>
      <w:marRight w:val="0"/>
      <w:marTop w:val="0"/>
      <w:marBottom w:val="0"/>
      <w:divBdr>
        <w:top w:val="none" w:sz="0" w:space="0" w:color="auto"/>
        <w:left w:val="none" w:sz="0" w:space="0" w:color="auto"/>
        <w:bottom w:val="none" w:sz="0" w:space="0" w:color="auto"/>
        <w:right w:val="none" w:sz="0" w:space="0" w:color="auto"/>
      </w:divBdr>
    </w:div>
    <w:div w:id="924460826">
      <w:marLeft w:val="640"/>
      <w:marRight w:val="0"/>
      <w:marTop w:val="0"/>
      <w:marBottom w:val="0"/>
      <w:divBdr>
        <w:top w:val="none" w:sz="0" w:space="0" w:color="auto"/>
        <w:left w:val="none" w:sz="0" w:space="0" w:color="auto"/>
        <w:bottom w:val="none" w:sz="0" w:space="0" w:color="auto"/>
        <w:right w:val="none" w:sz="0" w:space="0" w:color="auto"/>
      </w:divBdr>
    </w:div>
    <w:div w:id="931815424">
      <w:marLeft w:val="640"/>
      <w:marRight w:val="0"/>
      <w:marTop w:val="0"/>
      <w:marBottom w:val="0"/>
      <w:divBdr>
        <w:top w:val="none" w:sz="0" w:space="0" w:color="auto"/>
        <w:left w:val="none" w:sz="0" w:space="0" w:color="auto"/>
        <w:bottom w:val="none" w:sz="0" w:space="0" w:color="auto"/>
        <w:right w:val="none" w:sz="0" w:space="0" w:color="auto"/>
      </w:divBdr>
    </w:div>
    <w:div w:id="935946026">
      <w:marLeft w:val="640"/>
      <w:marRight w:val="0"/>
      <w:marTop w:val="0"/>
      <w:marBottom w:val="0"/>
      <w:divBdr>
        <w:top w:val="none" w:sz="0" w:space="0" w:color="auto"/>
        <w:left w:val="none" w:sz="0" w:space="0" w:color="auto"/>
        <w:bottom w:val="none" w:sz="0" w:space="0" w:color="auto"/>
        <w:right w:val="none" w:sz="0" w:space="0" w:color="auto"/>
      </w:divBdr>
    </w:div>
    <w:div w:id="982852848">
      <w:marLeft w:val="640"/>
      <w:marRight w:val="0"/>
      <w:marTop w:val="0"/>
      <w:marBottom w:val="0"/>
      <w:divBdr>
        <w:top w:val="none" w:sz="0" w:space="0" w:color="auto"/>
        <w:left w:val="none" w:sz="0" w:space="0" w:color="auto"/>
        <w:bottom w:val="none" w:sz="0" w:space="0" w:color="auto"/>
        <w:right w:val="none" w:sz="0" w:space="0" w:color="auto"/>
      </w:divBdr>
    </w:div>
    <w:div w:id="992418325">
      <w:marLeft w:val="640"/>
      <w:marRight w:val="0"/>
      <w:marTop w:val="0"/>
      <w:marBottom w:val="0"/>
      <w:divBdr>
        <w:top w:val="none" w:sz="0" w:space="0" w:color="auto"/>
        <w:left w:val="none" w:sz="0" w:space="0" w:color="auto"/>
        <w:bottom w:val="none" w:sz="0" w:space="0" w:color="auto"/>
        <w:right w:val="none" w:sz="0" w:space="0" w:color="auto"/>
      </w:divBdr>
    </w:div>
    <w:div w:id="993947617">
      <w:marLeft w:val="640"/>
      <w:marRight w:val="0"/>
      <w:marTop w:val="0"/>
      <w:marBottom w:val="0"/>
      <w:divBdr>
        <w:top w:val="none" w:sz="0" w:space="0" w:color="auto"/>
        <w:left w:val="none" w:sz="0" w:space="0" w:color="auto"/>
        <w:bottom w:val="none" w:sz="0" w:space="0" w:color="auto"/>
        <w:right w:val="none" w:sz="0" w:space="0" w:color="auto"/>
      </w:divBdr>
    </w:div>
    <w:div w:id="1006782036">
      <w:marLeft w:val="640"/>
      <w:marRight w:val="0"/>
      <w:marTop w:val="0"/>
      <w:marBottom w:val="0"/>
      <w:divBdr>
        <w:top w:val="none" w:sz="0" w:space="0" w:color="auto"/>
        <w:left w:val="none" w:sz="0" w:space="0" w:color="auto"/>
        <w:bottom w:val="none" w:sz="0" w:space="0" w:color="auto"/>
        <w:right w:val="none" w:sz="0" w:space="0" w:color="auto"/>
      </w:divBdr>
    </w:div>
    <w:div w:id="1007097498">
      <w:marLeft w:val="640"/>
      <w:marRight w:val="0"/>
      <w:marTop w:val="0"/>
      <w:marBottom w:val="0"/>
      <w:divBdr>
        <w:top w:val="none" w:sz="0" w:space="0" w:color="auto"/>
        <w:left w:val="none" w:sz="0" w:space="0" w:color="auto"/>
        <w:bottom w:val="none" w:sz="0" w:space="0" w:color="auto"/>
        <w:right w:val="none" w:sz="0" w:space="0" w:color="auto"/>
      </w:divBdr>
    </w:div>
    <w:div w:id="1024477403">
      <w:marLeft w:val="640"/>
      <w:marRight w:val="0"/>
      <w:marTop w:val="0"/>
      <w:marBottom w:val="0"/>
      <w:divBdr>
        <w:top w:val="none" w:sz="0" w:space="0" w:color="auto"/>
        <w:left w:val="none" w:sz="0" w:space="0" w:color="auto"/>
        <w:bottom w:val="none" w:sz="0" w:space="0" w:color="auto"/>
        <w:right w:val="none" w:sz="0" w:space="0" w:color="auto"/>
      </w:divBdr>
    </w:div>
    <w:div w:id="1026906894">
      <w:marLeft w:val="640"/>
      <w:marRight w:val="0"/>
      <w:marTop w:val="0"/>
      <w:marBottom w:val="0"/>
      <w:divBdr>
        <w:top w:val="none" w:sz="0" w:space="0" w:color="auto"/>
        <w:left w:val="none" w:sz="0" w:space="0" w:color="auto"/>
        <w:bottom w:val="none" w:sz="0" w:space="0" w:color="auto"/>
        <w:right w:val="none" w:sz="0" w:space="0" w:color="auto"/>
      </w:divBdr>
    </w:div>
    <w:div w:id="1035155839">
      <w:marLeft w:val="640"/>
      <w:marRight w:val="0"/>
      <w:marTop w:val="0"/>
      <w:marBottom w:val="0"/>
      <w:divBdr>
        <w:top w:val="none" w:sz="0" w:space="0" w:color="auto"/>
        <w:left w:val="none" w:sz="0" w:space="0" w:color="auto"/>
        <w:bottom w:val="none" w:sz="0" w:space="0" w:color="auto"/>
        <w:right w:val="none" w:sz="0" w:space="0" w:color="auto"/>
      </w:divBdr>
    </w:div>
    <w:div w:id="1037315122">
      <w:marLeft w:val="640"/>
      <w:marRight w:val="0"/>
      <w:marTop w:val="0"/>
      <w:marBottom w:val="0"/>
      <w:divBdr>
        <w:top w:val="none" w:sz="0" w:space="0" w:color="auto"/>
        <w:left w:val="none" w:sz="0" w:space="0" w:color="auto"/>
        <w:bottom w:val="none" w:sz="0" w:space="0" w:color="auto"/>
        <w:right w:val="none" w:sz="0" w:space="0" w:color="auto"/>
      </w:divBdr>
    </w:div>
    <w:div w:id="1051346915">
      <w:marLeft w:val="640"/>
      <w:marRight w:val="0"/>
      <w:marTop w:val="0"/>
      <w:marBottom w:val="0"/>
      <w:divBdr>
        <w:top w:val="none" w:sz="0" w:space="0" w:color="auto"/>
        <w:left w:val="none" w:sz="0" w:space="0" w:color="auto"/>
        <w:bottom w:val="none" w:sz="0" w:space="0" w:color="auto"/>
        <w:right w:val="none" w:sz="0" w:space="0" w:color="auto"/>
      </w:divBdr>
    </w:div>
    <w:div w:id="1057825617">
      <w:marLeft w:val="640"/>
      <w:marRight w:val="0"/>
      <w:marTop w:val="0"/>
      <w:marBottom w:val="0"/>
      <w:divBdr>
        <w:top w:val="none" w:sz="0" w:space="0" w:color="auto"/>
        <w:left w:val="none" w:sz="0" w:space="0" w:color="auto"/>
        <w:bottom w:val="none" w:sz="0" w:space="0" w:color="auto"/>
        <w:right w:val="none" w:sz="0" w:space="0" w:color="auto"/>
      </w:divBdr>
    </w:div>
    <w:div w:id="1067534735">
      <w:marLeft w:val="640"/>
      <w:marRight w:val="0"/>
      <w:marTop w:val="0"/>
      <w:marBottom w:val="0"/>
      <w:divBdr>
        <w:top w:val="none" w:sz="0" w:space="0" w:color="auto"/>
        <w:left w:val="none" w:sz="0" w:space="0" w:color="auto"/>
        <w:bottom w:val="none" w:sz="0" w:space="0" w:color="auto"/>
        <w:right w:val="none" w:sz="0" w:space="0" w:color="auto"/>
      </w:divBdr>
    </w:div>
    <w:div w:id="1086419358">
      <w:marLeft w:val="640"/>
      <w:marRight w:val="0"/>
      <w:marTop w:val="0"/>
      <w:marBottom w:val="0"/>
      <w:divBdr>
        <w:top w:val="none" w:sz="0" w:space="0" w:color="auto"/>
        <w:left w:val="none" w:sz="0" w:space="0" w:color="auto"/>
        <w:bottom w:val="none" w:sz="0" w:space="0" w:color="auto"/>
        <w:right w:val="none" w:sz="0" w:space="0" w:color="auto"/>
      </w:divBdr>
    </w:div>
    <w:div w:id="1094278400">
      <w:marLeft w:val="640"/>
      <w:marRight w:val="0"/>
      <w:marTop w:val="0"/>
      <w:marBottom w:val="0"/>
      <w:divBdr>
        <w:top w:val="none" w:sz="0" w:space="0" w:color="auto"/>
        <w:left w:val="none" w:sz="0" w:space="0" w:color="auto"/>
        <w:bottom w:val="none" w:sz="0" w:space="0" w:color="auto"/>
        <w:right w:val="none" w:sz="0" w:space="0" w:color="auto"/>
      </w:divBdr>
    </w:div>
    <w:div w:id="1094738881">
      <w:marLeft w:val="640"/>
      <w:marRight w:val="0"/>
      <w:marTop w:val="0"/>
      <w:marBottom w:val="0"/>
      <w:divBdr>
        <w:top w:val="none" w:sz="0" w:space="0" w:color="auto"/>
        <w:left w:val="none" w:sz="0" w:space="0" w:color="auto"/>
        <w:bottom w:val="none" w:sz="0" w:space="0" w:color="auto"/>
        <w:right w:val="none" w:sz="0" w:space="0" w:color="auto"/>
      </w:divBdr>
    </w:div>
    <w:div w:id="1106072734">
      <w:marLeft w:val="640"/>
      <w:marRight w:val="0"/>
      <w:marTop w:val="0"/>
      <w:marBottom w:val="0"/>
      <w:divBdr>
        <w:top w:val="none" w:sz="0" w:space="0" w:color="auto"/>
        <w:left w:val="none" w:sz="0" w:space="0" w:color="auto"/>
        <w:bottom w:val="none" w:sz="0" w:space="0" w:color="auto"/>
        <w:right w:val="none" w:sz="0" w:space="0" w:color="auto"/>
      </w:divBdr>
    </w:div>
    <w:div w:id="1117138755">
      <w:marLeft w:val="640"/>
      <w:marRight w:val="0"/>
      <w:marTop w:val="0"/>
      <w:marBottom w:val="0"/>
      <w:divBdr>
        <w:top w:val="none" w:sz="0" w:space="0" w:color="auto"/>
        <w:left w:val="none" w:sz="0" w:space="0" w:color="auto"/>
        <w:bottom w:val="none" w:sz="0" w:space="0" w:color="auto"/>
        <w:right w:val="none" w:sz="0" w:space="0" w:color="auto"/>
      </w:divBdr>
    </w:div>
    <w:div w:id="1119296426">
      <w:marLeft w:val="640"/>
      <w:marRight w:val="0"/>
      <w:marTop w:val="0"/>
      <w:marBottom w:val="0"/>
      <w:divBdr>
        <w:top w:val="none" w:sz="0" w:space="0" w:color="auto"/>
        <w:left w:val="none" w:sz="0" w:space="0" w:color="auto"/>
        <w:bottom w:val="none" w:sz="0" w:space="0" w:color="auto"/>
        <w:right w:val="none" w:sz="0" w:space="0" w:color="auto"/>
      </w:divBdr>
    </w:div>
    <w:div w:id="1141270877">
      <w:marLeft w:val="640"/>
      <w:marRight w:val="0"/>
      <w:marTop w:val="0"/>
      <w:marBottom w:val="0"/>
      <w:divBdr>
        <w:top w:val="none" w:sz="0" w:space="0" w:color="auto"/>
        <w:left w:val="none" w:sz="0" w:space="0" w:color="auto"/>
        <w:bottom w:val="none" w:sz="0" w:space="0" w:color="auto"/>
        <w:right w:val="none" w:sz="0" w:space="0" w:color="auto"/>
      </w:divBdr>
    </w:div>
    <w:div w:id="1166939191">
      <w:marLeft w:val="640"/>
      <w:marRight w:val="0"/>
      <w:marTop w:val="0"/>
      <w:marBottom w:val="0"/>
      <w:divBdr>
        <w:top w:val="none" w:sz="0" w:space="0" w:color="auto"/>
        <w:left w:val="none" w:sz="0" w:space="0" w:color="auto"/>
        <w:bottom w:val="none" w:sz="0" w:space="0" w:color="auto"/>
        <w:right w:val="none" w:sz="0" w:space="0" w:color="auto"/>
      </w:divBdr>
    </w:div>
    <w:div w:id="1167213235">
      <w:marLeft w:val="640"/>
      <w:marRight w:val="0"/>
      <w:marTop w:val="0"/>
      <w:marBottom w:val="0"/>
      <w:divBdr>
        <w:top w:val="none" w:sz="0" w:space="0" w:color="auto"/>
        <w:left w:val="none" w:sz="0" w:space="0" w:color="auto"/>
        <w:bottom w:val="none" w:sz="0" w:space="0" w:color="auto"/>
        <w:right w:val="none" w:sz="0" w:space="0" w:color="auto"/>
      </w:divBdr>
    </w:div>
    <w:div w:id="1169642217">
      <w:marLeft w:val="640"/>
      <w:marRight w:val="0"/>
      <w:marTop w:val="0"/>
      <w:marBottom w:val="0"/>
      <w:divBdr>
        <w:top w:val="none" w:sz="0" w:space="0" w:color="auto"/>
        <w:left w:val="none" w:sz="0" w:space="0" w:color="auto"/>
        <w:bottom w:val="none" w:sz="0" w:space="0" w:color="auto"/>
        <w:right w:val="none" w:sz="0" w:space="0" w:color="auto"/>
      </w:divBdr>
    </w:div>
    <w:div w:id="1194882571">
      <w:marLeft w:val="640"/>
      <w:marRight w:val="0"/>
      <w:marTop w:val="0"/>
      <w:marBottom w:val="0"/>
      <w:divBdr>
        <w:top w:val="none" w:sz="0" w:space="0" w:color="auto"/>
        <w:left w:val="none" w:sz="0" w:space="0" w:color="auto"/>
        <w:bottom w:val="none" w:sz="0" w:space="0" w:color="auto"/>
        <w:right w:val="none" w:sz="0" w:space="0" w:color="auto"/>
      </w:divBdr>
    </w:div>
    <w:div w:id="1203513795">
      <w:marLeft w:val="640"/>
      <w:marRight w:val="0"/>
      <w:marTop w:val="0"/>
      <w:marBottom w:val="0"/>
      <w:divBdr>
        <w:top w:val="none" w:sz="0" w:space="0" w:color="auto"/>
        <w:left w:val="none" w:sz="0" w:space="0" w:color="auto"/>
        <w:bottom w:val="none" w:sz="0" w:space="0" w:color="auto"/>
        <w:right w:val="none" w:sz="0" w:space="0" w:color="auto"/>
      </w:divBdr>
    </w:div>
    <w:div w:id="1209028708">
      <w:marLeft w:val="640"/>
      <w:marRight w:val="0"/>
      <w:marTop w:val="0"/>
      <w:marBottom w:val="0"/>
      <w:divBdr>
        <w:top w:val="none" w:sz="0" w:space="0" w:color="auto"/>
        <w:left w:val="none" w:sz="0" w:space="0" w:color="auto"/>
        <w:bottom w:val="none" w:sz="0" w:space="0" w:color="auto"/>
        <w:right w:val="none" w:sz="0" w:space="0" w:color="auto"/>
      </w:divBdr>
    </w:div>
    <w:div w:id="1222213550">
      <w:marLeft w:val="640"/>
      <w:marRight w:val="0"/>
      <w:marTop w:val="0"/>
      <w:marBottom w:val="0"/>
      <w:divBdr>
        <w:top w:val="none" w:sz="0" w:space="0" w:color="auto"/>
        <w:left w:val="none" w:sz="0" w:space="0" w:color="auto"/>
        <w:bottom w:val="none" w:sz="0" w:space="0" w:color="auto"/>
        <w:right w:val="none" w:sz="0" w:space="0" w:color="auto"/>
      </w:divBdr>
    </w:div>
    <w:div w:id="1230725775">
      <w:marLeft w:val="640"/>
      <w:marRight w:val="0"/>
      <w:marTop w:val="0"/>
      <w:marBottom w:val="0"/>
      <w:divBdr>
        <w:top w:val="none" w:sz="0" w:space="0" w:color="auto"/>
        <w:left w:val="none" w:sz="0" w:space="0" w:color="auto"/>
        <w:bottom w:val="none" w:sz="0" w:space="0" w:color="auto"/>
        <w:right w:val="none" w:sz="0" w:space="0" w:color="auto"/>
      </w:divBdr>
    </w:div>
    <w:div w:id="1247837666">
      <w:marLeft w:val="640"/>
      <w:marRight w:val="0"/>
      <w:marTop w:val="0"/>
      <w:marBottom w:val="0"/>
      <w:divBdr>
        <w:top w:val="none" w:sz="0" w:space="0" w:color="auto"/>
        <w:left w:val="none" w:sz="0" w:space="0" w:color="auto"/>
        <w:bottom w:val="none" w:sz="0" w:space="0" w:color="auto"/>
        <w:right w:val="none" w:sz="0" w:space="0" w:color="auto"/>
      </w:divBdr>
    </w:div>
    <w:div w:id="1253783010">
      <w:marLeft w:val="640"/>
      <w:marRight w:val="0"/>
      <w:marTop w:val="0"/>
      <w:marBottom w:val="0"/>
      <w:divBdr>
        <w:top w:val="none" w:sz="0" w:space="0" w:color="auto"/>
        <w:left w:val="none" w:sz="0" w:space="0" w:color="auto"/>
        <w:bottom w:val="none" w:sz="0" w:space="0" w:color="auto"/>
        <w:right w:val="none" w:sz="0" w:space="0" w:color="auto"/>
      </w:divBdr>
    </w:div>
    <w:div w:id="1269657431">
      <w:marLeft w:val="640"/>
      <w:marRight w:val="0"/>
      <w:marTop w:val="0"/>
      <w:marBottom w:val="0"/>
      <w:divBdr>
        <w:top w:val="none" w:sz="0" w:space="0" w:color="auto"/>
        <w:left w:val="none" w:sz="0" w:space="0" w:color="auto"/>
        <w:bottom w:val="none" w:sz="0" w:space="0" w:color="auto"/>
        <w:right w:val="none" w:sz="0" w:space="0" w:color="auto"/>
      </w:divBdr>
    </w:div>
    <w:div w:id="1278371640">
      <w:marLeft w:val="640"/>
      <w:marRight w:val="0"/>
      <w:marTop w:val="0"/>
      <w:marBottom w:val="0"/>
      <w:divBdr>
        <w:top w:val="none" w:sz="0" w:space="0" w:color="auto"/>
        <w:left w:val="none" w:sz="0" w:space="0" w:color="auto"/>
        <w:bottom w:val="none" w:sz="0" w:space="0" w:color="auto"/>
        <w:right w:val="none" w:sz="0" w:space="0" w:color="auto"/>
      </w:divBdr>
    </w:div>
    <w:div w:id="1305351826">
      <w:marLeft w:val="640"/>
      <w:marRight w:val="0"/>
      <w:marTop w:val="0"/>
      <w:marBottom w:val="0"/>
      <w:divBdr>
        <w:top w:val="none" w:sz="0" w:space="0" w:color="auto"/>
        <w:left w:val="none" w:sz="0" w:space="0" w:color="auto"/>
        <w:bottom w:val="none" w:sz="0" w:space="0" w:color="auto"/>
        <w:right w:val="none" w:sz="0" w:space="0" w:color="auto"/>
      </w:divBdr>
    </w:div>
    <w:div w:id="1307392444">
      <w:marLeft w:val="640"/>
      <w:marRight w:val="0"/>
      <w:marTop w:val="0"/>
      <w:marBottom w:val="0"/>
      <w:divBdr>
        <w:top w:val="none" w:sz="0" w:space="0" w:color="auto"/>
        <w:left w:val="none" w:sz="0" w:space="0" w:color="auto"/>
        <w:bottom w:val="none" w:sz="0" w:space="0" w:color="auto"/>
        <w:right w:val="none" w:sz="0" w:space="0" w:color="auto"/>
      </w:divBdr>
    </w:div>
    <w:div w:id="1308779034">
      <w:marLeft w:val="640"/>
      <w:marRight w:val="0"/>
      <w:marTop w:val="0"/>
      <w:marBottom w:val="0"/>
      <w:divBdr>
        <w:top w:val="none" w:sz="0" w:space="0" w:color="auto"/>
        <w:left w:val="none" w:sz="0" w:space="0" w:color="auto"/>
        <w:bottom w:val="none" w:sz="0" w:space="0" w:color="auto"/>
        <w:right w:val="none" w:sz="0" w:space="0" w:color="auto"/>
      </w:divBdr>
    </w:div>
    <w:div w:id="1321735556">
      <w:marLeft w:val="640"/>
      <w:marRight w:val="0"/>
      <w:marTop w:val="0"/>
      <w:marBottom w:val="0"/>
      <w:divBdr>
        <w:top w:val="none" w:sz="0" w:space="0" w:color="auto"/>
        <w:left w:val="none" w:sz="0" w:space="0" w:color="auto"/>
        <w:bottom w:val="none" w:sz="0" w:space="0" w:color="auto"/>
        <w:right w:val="none" w:sz="0" w:space="0" w:color="auto"/>
      </w:divBdr>
    </w:div>
    <w:div w:id="1332874277">
      <w:marLeft w:val="640"/>
      <w:marRight w:val="0"/>
      <w:marTop w:val="0"/>
      <w:marBottom w:val="0"/>
      <w:divBdr>
        <w:top w:val="none" w:sz="0" w:space="0" w:color="auto"/>
        <w:left w:val="none" w:sz="0" w:space="0" w:color="auto"/>
        <w:bottom w:val="none" w:sz="0" w:space="0" w:color="auto"/>
        <w:right w:val="none" w:sz="0" w:space="0" w:color="auto"/>
      </w:divBdr>
    </w:div>
    <w:div w:id="1345933436">
      <w:marLeft w:val="640"/>
      <w:marRight w:val="0"/>
      <w:marTop w:val="0"/>
      <w:marBottom w:val="0"/>
      <w:divBdr>
        <w:top w:val="none" w:sz="0" w:space="0" w:color="auto"/>
        <w:left w:val="none" w:sz="0" w:space="0" w:color="auto"/>
        <w:bottom w:val="none" w:sz="0" w:space="0" w:color="auto"/>
        <w:right w:val="none" w:sz="0" w:space="0" w:color="auto"/>
      </w:divBdr>
    </w:div>
    <w:div w:id="1396780337">
      <w:marLeft w:val="640"/>
      <w:marRight w:val="0"/>
      <w:marTop w:val="0"/>
      <w:marBottom w:val="0"/>
      <w:divBdr>
        <w:top w:val="none" w:sz="0" w:space="0" w:color="auto"/>
        <w:left w:val="none" w:sz="0" w:space="0" w:color="auto"/>
        <w:bottom w:val="none" w:sz="0" w:space="0" w:color="auto"/>
        <w:right w:val="none" w:sz="0" w:space="0" w:color="auto"/>
      </w:divBdr>
    </w:div>
    <w:div w:id="1426419638">
      <w:marLeft w:val="640"/>
      <w:marRight w:val="0"/>
      <w:marTop w:val="0"/>
      <w:marBottom w:val="0"/>
      <w:divBdr>
        <w:top w:val="none" w:sz="0" w:space="0" w:color="auto"/>
        <w:left w:val="none" w:sz="0" w:space="0" w:color="auto"/>
        <w:bottom w:val="none" w:sz="0" w:space="0" w:color="auto"/>
        <w:right w:val="none" w:sz="0" w:space="0" w:color="auto"/>
      </w:divBdr>
    </w:div>
    <w:div w:id="1447851660">
      <w:marLeft w:val="640"/>
      <w:marRight w:val="0"/>
      <w:marTop w:val="0"/>
      <w:marBottom w:val="0"/>
      <w:divBdr>
        <w:top w:val="none" w:sz="0" w:space="0" w:color="auto"/>
        <w:left w:val="none" w:sz="0" w:space="0" w:color="auto"/>
        <w:bottom w:val="none" w:sz="0" w:space="0" w:color="auto"/>
        <w:right w:val="none" w:sz="0" w:space="0" w:color="auto"/>
      </w:divBdr>
    </w:div>
    <w:div w:id="1467354668">
      <w:marLeft w:val="640"/>
      <w:marRight w:val="0"/>
      <w:marTop w:val="0"/>
      <w:marBottom w:val="0"/>
      <w:divBdr>
        <w:top w:val="none" w:sz="0" w:space="0" w:color="auto"/>
        <w:left w:val="none" w:sz="0" w:space="0" w:color="auto"/>
        <w:bottom w:val="none" w:sz="0" w:space="0" w:color="auto"/>
        <w:right w:val="none" w:sz="0" w:space="0" w:color="auto"/>
      </w:divBdr>
    </w:div>
    <w:div w:id="1491023776">
      <w:marLeft w:val="640"/>
      <w:marRight w:val="0"/>
      <w:marTop w:val="0"/>
      <w:marBottom w:val="0"/>
      <w:divBdr>
        <w:top w:val="none" w:sz="0" w:space="0" w:color="auto"/>
        <w:left w:val="none" w:sz="0" w:space="0" w:color="auto"/>
        <w:bottom w:val="none" w:sz="0" w:space="0" w:color="auto"/>
        <w:right w:val="none" w:sz="0" w:space="0" w:color="auto"/>
      </w:divBdr>
    </w:div>
    <w:div w:id="1492872150">
      <w:marLeft w:val="640"/>
      <w:marRight w:val="0"/>
      <w:marTop w:val="0"/>
      <w:marBottom w:val="0"/>
      <w:divBdr>
        <w:top w:val="none" w:sz="0" w:space="0" w:color="auto"/>
        <w:left w:val="none" w:sz="0" w:space="0" w:color="auto"/>
        <w:bottom w:val="none" w:sz="0" w:space="0" w:color="auto"/>
        <w:right w:val="none" w:sz="0" w:space="0" w:color="auto"/>
      </w:divBdr>
    </w:div>
    <w:div w:id="1505779842">
      <w:marLeft w:val="640"/>
      <w:marRight w:val="0"/>
      <w:marTop w:val="0"/>
      <w:marBottom w:val="0"/>
      <w:divBdr>
        <w:top w:val="none" w:sz="0" w:space="0" w:color="auto"/>
        <w:left w:val="none" w:sz="0" w:space="0" w:color="auto"/>
        <w:bottom w:val="none" w:sz="0" w:space="0" w:color="auto"/>
        <w:right w:val="none" w:sz="0" w:space="0" w:color="auto"/>
      </w:divBdr>
    </w:div>
    <w:div w:id="1507398775">
      <w:marLeft w:val="640"/>
      <w:marRight w:val="0"/>
      <w:marTop w:val="0"/>
      <w:marBottom w:val="0"/>
      <w:divBdr>
        <w:top w:val="none" w:sz="0" w:space="0" w:color="auto"/>
        <w:left w:val="none" w:sz="0" w:space="0" w:color="auto"/>
        <w:bottom w:val="none" w:sz="0" w:space="0" w:color="auto"/>
        <w:right w:val="none" w:sz="0" w:space="0" w:color="auto"/>
      </w:divBdr>
    </w:div>
    <w:div w:id="1540390779">
      <w:marLeft w:val="640"/>
      <w:marRight w:val="0"/>
      <w:marTop w:val="0"/>
      <w:marBottom w:val="0"/>
      <w:divBdr>
        <w:top w:val="none" w:sz="0" w:space="0" w:color="auto"/>
        <w:left w:val="none" w:sz="0" w:space="0" w:color="auto"/>
        <w:bottom w:val="none" w:sz="0" w:space="0" w:color="auto"/>
        <w:right w:val="none" w:sz="0" w:space="0" w:color="auto"/>
      </w:divBdr>
    </w:div>
    <w:div w:id="1623921784">
      <w:marLeft w:val="640"/>
      <w:marRight w:val="0"/>
      <w:marTop w:val="0"/>
      <w:marBottom w:val="0"/>
      <w:divBdr>
        <w:top w:val="none" w:sz="0" w:space="0" w:color="auto"/>
        <w:left w:val="none" w:sz="0" w:space="0" w:color="auto"/>
        <w:bottom w:val="none" w:sz="0" w:space="0" w:color="auto"/>
        <w:right w:val="none" w:sz="0" w:space="0" w:color="auto"/>
      </w:divBdr>
    </w:div>
    <w:div w:id="1651324499">
      <w:marLeft w:val="640"/>
      <w:marRight w:val="0"/>
      <w:marTop w:val="0"/>
      <w:marBottom w:val="0"/>
      <w:divBdr>
        <w:top w:val="none" w:sz="0" w:space="0" w:color="auto"/>
        <w:left w:val="none" w:sz="0" w:space="0" w:color="auto"/>
        <w:bottom w:val="none" w:sz="0" w:space="0" w:color="auto"/>
        <w:right w:val="none" w:sz="0" w:space="0" w:color="auto"/>
      </w:divBdr>
    </w:div>
    <w:div w:id="1651902865">
      <w:marLeft w:val="640"/>
      <w:marRight w:val="0"/>
      <w:marTop w:val="0"/>
      <w:marBottom w:val="0"/>
      <w:divBdr>
        <w:top w:val="none" w:sz="0" w:space="0" w:color="auto"/>
        <w:left w:val="none" w:sz="0" w:space="0" w:color="auto"/>
        <w:bottom w:val="none" w:sz="0" w:space="0" w:color="auto"/>
        <w:right w:val="none" w:sz="0" w:space="0" w:color="auto"/>
      </w:divBdr>
    </w:div>
    <w:div w:id="1669478928">
      <w:marLeft w:val="640"/>
      <w:marRight w:val="0"/>
      <w:marTop w:val="0"/>
      <w:marBottom w:val="0"/>
      <w:divBdr>
        <w:top w:val="none" w:sz="0" w:space="0" w:color="auto"/>
        <w:left w:val="none" w:sz="0" w:space="0" w:color="auto"/>
        <w:bottom w:val="none" w:sz="0" w:space="0" w:color="auto"/>
        <w:right w:val="none" w:sz="0" w:space="0" w:color="auto"/>
      </w:divBdr>
    </w:div>
    <w:div w:id="1681737925">
      <w:marLeft w:val="640"/>
      <w:marRight w:val="0"/>
      <w:marTop w:val="0"/>
      <w:marBottom w:val="0"/>
      <w:divBdr>
        <w:top w:val="none" w:sz="0" w:space="0" w:color="auto"/>
        <w:left w:val="none" w:sz="0" w:space="0" w:color="auto"/>
        <w:bottom w:val="none" w:sz="0" w:space="0" w:color="auto"/>
        <w:right w:val="none" w:sz="0" w:space="0" w:color="auto"/>
      </w:divBdr>
    </w:div>
    <w:div w:id="1685208552">
      <w:marLeft w:val="640"/>
      <w:marRight w:val="0"/>
      <w:marTop w:val="0"/>
      <w:marBottom w:val="0"/>
      <w:divBdr>
        <w:top w:val="none" w:sz="0" w:space="0" w:color="auto"/>
        <w:left w:val="none" w:sz="0" w:space="0" w:color="auto"/>
        <w:bottom w:val="none" w:sz="0" w:space="0" w:color="auto"/>
        <w:right w:val="none" w:sz="0" w:space="0" w:color="auto"/>
      </w:divBdr>
    </w:div>
    <w:div w:id="1697081392">
      <w:marLeft w:val="640"/>
      <w:marRight w:val="0"/>
      <w:marTop w:val="0"/>
      <w:marBottom w:val="0"/>
      <w:divBdr>
        <w:top w:val="none" w:sz="0" w:space="0" w:color="auto"/>
        <w:left w:val="none" w:sz="0" w:space="0" w:color="auto"/>
        <w:bottom w:val="none" w:sz="0" w:space="0" w:color="auto"/>
        <w:right w:val="none" w:sz="0" w:space="0" w:color="auto"/>
      </w:divBdr>
    </w:div>
    <w:div w:id="1718511289">
      <w:marLeft w:val="640"/>
      <w:marRight w:val="0"/>
      <w:marTop w:val="0"/>
      <w:marBottom w:val="0"/>
      <w:divBdr>
        <w:top w:val="none" w:sz="0" w:space="0" w:color="auto"/>
        <w:left w:val="none" w:sz="0" w:space="0" w:color="auto"/>
        <w:bottom w:val="none" w:sz="0" w:space="0" w:color="auto"/>
        <w:right w:val="none" w:sz="0" w:space="0" w:color="auto"/>
      </w:divBdr>
    </w:div>
    <w:div w:id="1722049084">
      <w:marLeft w:val="640"/>
      <w:marRight w:val="0"/>
      <w:marTop w:val="0"/>
      <w:marBottom w:val="0"/>
      <w:divBdr>
        <w:top w:val="none" w:sz="0" w:space="0" w:color="auto"/>
        <w:left w:val="none" w:sz="0" w:space="0" w:color="auto"/>
        <w:bottom w:val="none" w:sz="0" w:space="0" w:color="auto"/>
        <w:right w:val="none" w:sz="0" w:space="0" w:color="auto"/>
      </w:divBdr>
    </w:div>
    <w:div w:id="1735547146">
      <w:marLeft w:val="640"/>
      <w:marRight w:val="0"/>
      <w:marTop w:val="0"/>
      <w:marBottom w:val="0"/>
      <w:divBdr>
        <w:top w:val="none" w:sz="0" w:space="0" w:color="auto"/>
        <w:left w:val="none" w:sz="0" w:space="0" w:color="auto"/>
        <w:bottom w:val="none" w:sz="0" w:space="0" w:color="auto"/>
        <w:right w:val="none" w:sz="0" w:space="0" w:color="auto"/>
      </w:divBdr>
    </w:div>
    <w:div w:id="1737165114">
      <w:marLeft w:val="640"/>
      <w:marRight w:val="0"/>
      <w:marTop w:val="0"/>
      <w:marBottom w:val="0"/>
      <w:divBdr>
        <w:top w:val="none" w:sz="0" w:space="0" w:color="auto"/>
        <w:left w:val="none" w:sz="0" w:space="0" w:color="auto"/>
        <w:bottom w:val="none" w:sz="0" w:space="0" w:color="auto"/>
        <w:right w:val="none" w:sz="0" w:space="0" w:color="auto"/>
      </w:divBdr>
    </w:div>
    <w:div w:id="1741320908">
      <w:marLeft w:val="640"/>
      <w:marRight w:val="0"/>
      <w:marTop w:val="0"/>
      <w:marBottom w:val="0"/>
      <w:divBdr>
        <w:top w:val="none" w:sz="0" w:space="0" w:color="auto"/>
        <w:left w:val="none" w:sz="0" w:space="0" w:color="auto"/>
        <w:bottom w:val="none" w:sz="0" w:space="0" w:color="auto"/>
        <w:right w:val="none" w:sz="0" w:space="0" w:color="auto"/>
      </w:divBdr>
    </w:div>
    <w:div w:id="1777872060">
      <w:marLeft w:val="640"/>
      <w:marRight w:val="0"/>
      <w:marTop w:val="0"/>
      <w:marBottom w:val="0"/>
      <w:divBdr>
        <w:top w:val="none" w:sz="0" w:space="0" w:color="auto"/>
        <w:left w:val="none" w:sz="0" w:space="0" w:color="auto"/>
        <w:bottom w:val="none" w:sz="0" w:space="0" w:color="auto"/>
        <w:right w:val="none" w:sz="0" w:space="0" w:color="auto"/>
      </w:divBdr>
    </w:div>
    <w:div w:id="1778526106">
      <w:marLeft w:val="640"/>
      <w:marRight w:val="0"/>
      <w:marTop w:val="0"/>
      <w:marBottom w:val="0"/>
      <w:divBdr>
        <w:top w:val="none" w:sz="0" w:space="0" w:color="auto"/>
        <w:left w:val="none" w:sz="0" w:space="0" w:color="auto"/>
        <w:bottom w:val="none" w:sz="0" w:space="0" w:color="auto"/>
        <w:right w:val="none" w:sz="0" w:space="0" w:color="auto"/>
      </w:divBdr>
    </w:div>
    <w:div w:id="1816600127">
      <w:marLeft w:val="640"/>
      <w:marRight w:val="0"/>
      <w:marTop w:val="0"/>
      <w:marBottom w:val="0"/>
      <w:divBdr>
        <w:top w:val="none" w:sz="0" w:space="0" w:color="auto"/>
        <w:left w:val="none" w:sz="0" w:space="0" w:color="auto"/>
        <w:bottom w:val="none" w:sz="0" w:space="0" w:color="auto"/>
        <w:right w:val="none" w:sz="0" w:space="0" w:color="auto"/>
      </w:divBdr>
    </w:div>
    <w:div w:id="1836340447">
      <w:marLeft w:val="640"/>
      <w:marRight w:val="0"/>
      <w:marTop w:val="0"/>
      <w:marBottom w:val="0"/>
      <w:divBdr>
        <w:top w:val="none" w:sz="0" w:space="0" w:color="auto"/>
        <w:left w:val="none" w:sz="0" w:space="0" w:color="auto"/>
        <w:bottom w:val="none" w:sz="0" w:space="0" w:color="auto"/>
        <w:right w:val="none" w:sz="0" w:space="0" w:color="auto"/>
      </w:divBdr>
    </w:div>
    <w:div w:id="1858690826">
      <w:marLeft w:val="640"/>
      <w:marRight w:val="0"/>
      <w:marTop w:val="0"/>
      <w:marBottom w:val="0"/>
      <w:divBdr>
        <w:top w:val="none" w:sz="0" w:space="0" w:color="auto"/>
        <w:left w:val="none" w:sz="0" w:space="0" w:color="auto"/>
        <w:bottom w:val="none" w:sz="0" w:space="0" w:color="auto"/>
        <w:right w:val="none" w:sz="0" w:space="0" w:color="auto"/>
      </w:divBdr>
    </w:div>
    <w:div w:id="1891961728">
      <w:marLeft w:val="640"/>
      <w:marRight w:val="0"/>
      <w:marTop w:val="0"/>
      <w:marBottom w:val="0"/>
      <w:divBdr>
        <w:top w:val="none" w:sz="0" w:space="0" w:color="auto"/>
        <w:left w:val="none" w:sz="0" w:space="0" w:color="auto"/>
        <w:bottom w:val="none" w:sz="0" w:space="0" w:color="auto"/>
        <w:right w:val="none" w:sz="0" w:space="0" w:color="auto"/>
      </w:divBdr>
    </w:div>
    <w:div w:id="1935507179">
      <w:marLeft w:val="640"/>
      <w:marRight w:val="0"/>
      <w:marTop w:val="0"/>
      <w:marBottom w:val="0"/>
      <w:divBdr>
        <w:top w:val="none" w:sz="0" w:space="0" w:color="auto"/>
        <w:left w:val="none" w:sz="0" w:space="0" w:color="auto"/>
        <w:bottom w:val="none" w:sz="0" w:space="0" w:color="auto"/>
        <w:right w:val="none" w:sz="0" w:space="0" w:color="auto"/>
      </w:divBdr>
    </w:div>
    <w:div w:id="1946307594">
      <w:marLeft w:val="640"/>
      <w:marRight w:val="0"/>
      <w:marTop w:val="0"/>
      <w:marBottom w:val="0"/>
      <w:divBdr>
        <w:top w:val="none" w:sz="0" w:space="0" w:color="auto"/>
        <w:left w:val="none" w:sz="0" w:space="0" w:color="auto"/>
        <w:bottom w:val="none" w:sz="0" w:space="0" w:color="auto"/>
        <w:right w:val="none" w:sz="0" w:space="0" w:color="auto"/>
      </w:divBdr>
    </w:div>
    <w:div w:id="1975718693">
      <w:marLeft w:val="640"/>
      <w:marRight w:val="0"/>
      <w:marTop w:val="0"/>
      <w:marBottom w:val="0"/>
      <w:divBdr>
        <w:top w:val="none" w:sz="0" w:space="0" w:color="auto"/>
        <w:left w:val="none" w:sz="0" w:space="0" w:color="auto"/>
        <w:bottom w:val="none" w:sz="0" w:space="0" w:color="auto"/>
        <w:right w:val="none" w:sz="0" w:space="0" w:color="auto"/>
      </w:divBdr>
    </w:div>
    <w:div w:id="1979453167">
      <w:marLeft w:val="640"/>
      <w:marRight w:val="0"/>
      <w:marTop w:val="0"/>
      <w:marBottom w:val="0"/>
      <w:divBdr>
        <w:top w:val="none" w:sz="0" w:space="0" w:color="auto"/>
        <w:left w:val="none" w:sz="0" w:space="0" w:color="auto"/>
        <w:bottom w:val="none" w:sz="0" w:space="0" w:color="auto"/>
        <w:right w:val="none" w:sz="0" w:space="0" w:color="auto"/>
      </w:divBdr>
    </w:div>
    <w:div w:id="1980459011">
      <w:marLeft w:val="640"/>
      <w:marRight w:val="0"/>
      <w:marTop w:val="0"/>
      <w:marBottom w:val="0"/>
      <w:divBdr>
        <w:top w:val="none" w:sz="0" w:space="0" w:color="auto"/>
        <w:left w:val="none" w:sz="0" w:space="0" w:color="auto"/>
        <w:bottom w:val="none" w:sz="0" w:space="0" w:color="auto"/>
        <w:right w:val="none" w:sz="0" w:space="0" w:color="auto"/>
      </w:divBdr>
    </w:div>
    <w:div w:id="2007130788">
      <w:marLeft w:val="640"/>
      <w:marRight w:val="0"/>
      <w:marTop w:val="0"/>
      <w:marBottom w:val="0"/>
      <w:divBdr>
        <w:top w:val="none" w:sz="0" w:space="0" w:color="auto"/>
        <w:left w:val="none" w:sz="0" w:space="0" w:color="auto"/>
        <w:bottom w:val="none" w:sz="0" w:space="0" w:color="auto"/>
        <w:right w:val="none" w:sz="0" w:space="0" w:color="auto"/>
      </w:divBdr>
    </w:div>
    <w:div w:id="2039116888">
      <w:marLeft w:val="640"/>
      <w:marRight w:val="0"/>
      <w:marTop w:val="0"/>
      <w:marBottom w:val="0"/>
      <w:divBdr>
        <w:top w:val="none" w:sz="0" w:space="0" w:color="auto"/>
        <w:left w:val="none" w:sz="0" w:space="0" w:color="auto"/>
        <w:bottom w:val="none" w:sz="0" w:space="0" w:color="auto"/>
        <w:right w:val="none" w:sz="0" w:space="0" w:color="auto"/>
      </w:divBdr>
    </w:div>
    <w:div w:id="2046707683">
      <w:marLeft w:val="640"/>
      <w:marRight w:val="0"/>
      <w:marTop w:val="0"/>
      <w:marBottom w:val="0"/>
      <w:divBdr>
        <w:top w:val="none" w:sz="0" w:space="0" w:color="auto"/>
        <w:left w:val="none" w:sz="0" w:space="0" w:color="auto"/>
        <w:bottom w:val="none" w:sz="0" w:space="0" w:color="auto"/>
        <w:right w:val="none" w:sz="0" w:space="0" w:color="auto"/>
      </w:divBdr>
    </w:div>
    <w:div w:id="2047287022">
      <w:marLeft w:val="640"/>
      <w:marRight w:val="0"/>
      <w:marTop w:val="0"/>
      <w:marBottom w:val="0"/>
      <w:divBdr>
        <w:top w:val="none" w:sz="0" w:space="0" w:color="auto"/>
        <w:left w:val="none" w:sz="0" w:space="0" w:color="auto"/>
        <w:bottom w:val="none" w:sz="0" w:space="0" w:color="auto"/>
        <w:right w:val="none" w:sz="0" w:space="0" w:color="auto"/>
      </w:divBdr>
    </w:div>
    <w:div w:id="2051227813">
      <w:marLeft w:val="640"/>
      <w:marRight w:val="0"/>
      <w:marTop w:val="0"/>
      <w:marBottom w:val="0"/>
      <w:divBdr>
        <w:top w:val="none" w:sz="0" w:space="0" w:color="auto"/>
        <w:left w:val="none" w:sz="0" w:space="0" w:color="auto"/>
        <w:bottom w:val="none" w:sz="0" w:space="0" w:color="auto"/>
        <w:right w:val="none" w:sz="0" w:space="0" w:color="auto"/>
      </w:divBdr>
    </w:div>
    <w:div w:id="2062439774">
      <w:marLeft w:val="640"/>
      <w:marRight w:val="0"/>
      <w:marTop w:val="0"/>
      <w:marBottom w:val="0"/>
      <w:divBdr>
        <w:top w:val="none" w:sz="0" w:space="0" w:color="auto"/>
        <w:left w:val="none" w:sz="0" w:space="0" w:color="auto"/>
        <w:bottom w:val="none" w:sz="0" w:space="0" w:color="auto"/>
        <w:right w:val="none" w:sz="0" w:space="0" w:color="auto"/>
      </w:divBdr>
    </w:div>
    <w:div w:id="2067873824">
      <w:marLeft w:val="640"/>
      <w:marRight w:val="0"/>
      <w:marTop w:val="0"/>
      <w:marBottom w:val="0"/>
      <w:divBdr>
        <w:top w:val="none" w:sz="0" w:space="0" w:color="auto"/>
        <w:left w:val="none" w:sz="0" w:space="0" w:color="auto"/>
        <w:bottom w:val="none" w:sz="0" w:space="0" w:color="auto"/>
        <w:right w:val="none" w:sz="0" w:space="0" w:color="auto"/>
      </w:divBdr>
    </w:div>
    <w:div w:id="2082755239">
      <w:marLeft w:val="640"/>
      <w:marRight w:val="0"/>
      <w:marTop w:val="0"/>
      <w:marBottom w:val="0"/>
      <w:divBdr>
        <w:top w:val="none" w:sz="0" w:space="0" w:color="auto"/>
        <w:left w:val="none" w:sz="0" w:space="0" w:color="auto"/>
        <w:bottom w:val="none" w:sz="0" w:space="0" w:color="auto"/>
        <w:right w:val="none" w:sz="0" w:space="0" w:color="auto"/>
      </w:divBdr>
    </w:div>
    <w:div w:id="2094737377">
      <w:marLeft w:val="640"/>
      <w:marRight w:val="0"/>
      <w:marTop w:val="0"/>
      <w:marBottom w:val="0"/>
      <w:divBdr>
        <w:top w:val="none" w:sz="0" w:space="0" w:color="auto"/>
        <w:left w:val="none" w:sz="0" w:space="0" w:color="auto"/>
        <w:bottom w:val="none" w:sz="0" w:space="0" w:color="auto"/>
        <w:right w:val="none" w:sz="0" w:space="0" w:color="auto"/>
      </w:divBdr>
    </w:div>
    <w:div w:id="2102531606">
      <w:bodyDiv w:val="1"/>
      <w:marLeft w:val="0"/>
      <w:marRight w:val="0"/>
      <w:marTop w:val="0"/>
      <w:marBottom w:val="0"/>
      <w:divBdr>
        <w:top w:val="none" w:sz="0" w:space="0" w:color="auto"/>
        <w:left w:val="none" w:sz="0" w:space="0" w:color="auto"/>
        <w:bottom w:val="none" w:sz="0" w:space="0" w:color="auto"/>
        <w:right w:val="none" w:sz="0" w:space="0" w:color="auto"/>
      </w:divBdr>
    </w:div>
    <w:div w:id="2105177378">
      <w:marLeft w:val="640"/>
      <w:marRight w:val="0"/>
      <w:marTop w:val="0"/>
      <w:marBottom w:val="0"/>
      <w:divBdr>
        <w:top w:val="none" w:sz="0" w:space="0" w:color="auto"/>
        <w:left w:val="none" w:sz="0" w:space="0" w:color="auto"/>
        <w:bottom w:val="none" w:sz="0" w:space="0" w:color="auto"/>
        <w:right w:val="none" w:sz="0" w:space="0" w:color="auto"/>
      </w:divBdr>
    </w:div>
    <w:div w:id="2123261344">
      <w:marLeft w:val="640"/>
      <w:marRight w:val="0"/>
      <w:marTop w:val="0"/>
      <w:marBottom w:val="0"/>
      <w:divBdr>
        <w:top w:val="none" w:sz="0" w:space="0" w:color="auto"/>
        <w:left w:val="none" w:sz="0" w:space="0" w:color="auto"/>
        <w:bottom w:val="none" w:sz="0" w:space="0" w:color="auto"/>
        <w:right w:val="none" w:sz="0" w:space="0" w:color="auto"/>
      </w:divBdr>
    </w:div>
    <w:div w:id="2131705704">
      <w:marLeft w:val="640"/>
      <w:marRight w:val="0"/>
      <w:marTop w:val="0"/>
      <w:marBottom w:val="0"/>
      <w:divBdr>
        <w:top w:val="none" w:sz="0" w:space="0" w:color="auto"/>
        <w:left w:val="none" w:sz="0" w:space="0" w:color="auto"/>
        <w:bottom w:val="none" w:sz="0" w:space="0" w:color="auto"/>
        <w:right w:val="none" w:sz="0" w:space="0" w:color="auto"/>
      </w:divBdr>
    </w:div>
    <w:div w:id="2132703925">
      <w:marLeft w:val="640"/>
      <w:marRight w:val="0"/>
      <w:marTop w:val="0"/>
      <w:marBottom w:val="0"/>
      <w:divBdr>
        <w:top w:val="none" w:sz="0" w:space="0" w:color="auto"/>
        <w:left w:val="none" w:sz="0" w:space="0" w:color="auto"/>
        <w:bottom w:val="none" w:sz="0" w:space="0" w:color="auto"/>
        <w:right w:val="none" w:sz="0" w:space="0" w:color="auto"/>
      </w:divBdr>
    </w:div>
    <w:div w:id="2133940664">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16/j.cemconres.2019.105818"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1016/j.watres.2018.01.043" TargetMode="External"/><Relationship Id="rId17" Type="http://schemas.openxmlformats.org/officeDocument/2006/relationships/hyperlink" Target="https://doi.org/10.1016/j.conbuildmat.2018.07.137" TargetMode="External"/><Relationship Id="rId2" Type="http://schemas.openxmlformats.org/officeDocument/2006/relationships/numbering" Target="numbering.xml"/><Relationship Id="rId16" Type="http://schemas.openxmlformats.org/officeDocument/2006/relationships/hyperlink" Target="https://doi.org/10.1016/j.cemconres.2018.04.00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scitotenv.2024.17123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390/ma18061256" TargetMode="External"/><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16/j.cemconres.2019.105852"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5AB147-F99A-472B-B239-B34DE59F408D}"/>
      </w:docPartPr>
      <w:docPartBody>
        <w:p w:rsidR="00081BDA" w:rsidRDefault="00081BDA">
          <w:r w:rsidRPr="009D366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DA"/>
    <w:rsid w:val="00081BDA"/>
    <w:rsid w:val="00293A7A"/>
    <w:rsid w:val="00527912"/>
    <w:rsid w:val="00AD21D2"/>
    <w:rsid w:val="00BE15FD"/>
    <w:rsid w:val="00CC56AF"/>
    <w:rsid w:val="00E51467"/>
    <w:rsid w:val="00FA20CB"/>
    <w:rsid w:val="00FD5B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1BD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1186F22-83E6-4FF3-A027-6C76C3F7D9EB}">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2264020340"/>
    <we:property name="MENDELEY_CITATIONS" value="[{&quot;citationID&quot;:&quot;MENDELEY_CITATION_a783fd57-18f6-4267-9e7f-fa7662875c3d&quot;,&quot;properties&quot;:{&quot;noteIndex&quot;:0},&quot;isEdited&quot;:false,&quot;manualOverride&quot;:{&quot;isManuallyOverridden&quot;:false,&quot;citeprocText&quot;:&quot;[1,2]&quot;,&quot;manualOverrideText&quot;:&quot;&quot;},&quot;citationTag&quot;:&quot;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&quot;,&quot;citationItems&quot;:[{&quot;id&quot;:&quot;df9d0e6c-4c0f-3d44-9d26-bcc16cbc57a1&quot;,&quot;itemData&quot;:{&quot;type&quot;:&quot;article-journal&quot;,&quot;id&quot;:&quot;df9d0e6c-4c0f-3d44-9d26-bcc16cbc57a1&quot;,&quot;title&quot;:&quot;Bio-corrosion in concrete sewer systems: Mechanisms and mitigation strategies&quot;,&quot;groupId&quot;:&quot;e885b09d-8da9-3652-9150-e3083be7b227&quot;,&quot;author&quot;:[{&quot;family&quot;:&quot;Pramanik&quot;,&quot;given&quot;:&quot;Sagor Kumar&quot;,&quot;parse-names&quot;:false,&quot;dropping-particle&quot;:&quot;&quot;,&quot;non-dropping-particle&quot;:&quot;&quot;},{&quot;family&quot;:&quot;Bhuiyan&quot;,&quot;given&quot;:&quot;Muhammed&quot;,&quot;parse-names&quot;:false,&quot;dropping-particle&quot;:&quot;&quot;,&quot;non-dropping-particle&quot;:&quot;&quot;},{&quot;family&quot;:&quot;Robert&quot;,&quot;given&quot;:&quot;Dilan&quot;,&quot;parse-names&quot;:false,&quot;dropping-particle&quot;:&quot;&quot;,&quot;non-dropping-particle&quot;:&quot;&quot;},{&quot;family&quot;:&quot;Roychand&quot;,&quot;given&quot;:&quot;Rajeev&quot;,&quot;parse-names&quot;:false,&quot;dropping-particle&quot;:&quot;&quot;,&quot;non-dropping-particle&quot;:&quot;&quot;},{&quot;family&quot;:&quot;Gao&quot;,&quot;given&quot;:&quot;Li&quot;,&quot;parse-names&quot;:false,&quot;dropping-particle&quot;:&quot;&quot;,&quot;non-dropping-particle&quot;:&quot;&quot;},{&quot;family&quot;:&quot;Cole&quot;,&quot;given&quot;:&quot;Ivan&quot;,&quot;parse-names&quot;:false,&quot;dropping-particle&quot;:&quot;&quot;,&quot;non-dropping-particle&quot;:&quot;&quot;},{&quot;family&quot;:&quot;Pramanik&quot;,&quot;given&quot;:&quot;Biplob Kumar&quot;,&quot;parse-names&quot;:false,&quot;dropping-particle&quot;:&quot;&quot;,&quot;non-dropping-particle&quot;:&quot;&quot;}],&quot;container-title&quot;:&quot;Science of The Total Environment&quot;,&quot;accessed&quot;:{&quot;date-parts&quot;:[[2026,2,28]]},&quot;DOI&quot;:&quot;10.1016/j.scitotenv.2024.171231&quot;,&quot;ISSN&quot;:&quot;18791026&quot;,&quot;PMID&quot;:&quot;38417509&quot;,&quot;URL&quot;:&quot;https://doi.org/10.1590/s1983-41952017000200006&quot;,&quot;issued&quot;:{&quot;date-parts&quot;:[[2024,4,15]]},&quot;page&quot;:&quot;171231&quot;,&quot;abstract&quot;:&quot;The deterioration of concrete sewer structures due to bio-corrosion presents critical and escalating challenges from structural, economic and environmental perspectives. Despite decades of research, this issue remains inadequately addressed, resulting in billions of dollars in maintenance costs and a shortened service life for sewer infrastructure worldwide. This challenge is exacerbated by the absence of standardized test methods and universally accepted mitigation strategies, leaving industries and stakeholders confronting an increasingly pressing problem. This paper aims to bridge this knowledge gap by providing a comprehensive review of the complex mechanisms of bio-corrosion, focusing on the formation and accumulation of hydrogen sulfide, its conversion into sulfuric acid and the subsequent deterioration of concrete materials. The paper also explores various factors affecting bio-corrosion rates, including environmental conditions, concrete properties and wastewater characteristics. The paper further highlights existing corrosion test strategies, such as chemical tests, in-situ tests and microbial simulations tests along with their general analytical parameters. The conversion of hydrogen sulfide into sulfuric acid is a primary cause of concrete decay and its progression is influenced by environmental conditions, inherent concrete characteristics, and the composition of wastewater. Through illustrative case studies, the paper assesses the practical implications and efficacy of prevailing mitigation techniques. Coating materials provide a protective barrier against corrosive agents among the discussed techniques, while optimised concrete mix designs enhance the inherent resistance and durability of the concrete matrix. Finally, this review also outlines the future prospects and challenges in bio-corrosion research with an aim to promote the creation of more resilient and cost-efficient materials for sewer systems.&quot;,&quot;publisher&quot;:&quot;Elsevier&quot;,&quot;issue&quot;:&quot;2&quot;,&quot;volume&quot;:&quot;921&quot;},&quot;isTemporary&quot;:false},{&quot;id&quot;:&quot;14332ca0-ee1e-3055-bbf6-597d7855b26f&quot;,&quot;itemData&quot;:{&quot;type&quot;:&quot;article-journal&quot;,&quot;id&quot;:&quot;14332ca0-ee1e-3055-bbf6-597d7855b26f&quot;,&quot;title&quot;:&quot;Advances in concrete materials for sewer systems affected by microbial induced concrete corrosion: A review&quot;,&quot;groupId&quot;:&quot;e885b09d-8da9-3652-9150-e3083be7b227&quot;,&quot;author&quot;:[{&quot;family&quot;:&quot;Grengg&quot;,&quot;given&quot;:&quot;Cyrill&quot;,&quot;parse-names&quot;:false,&quot;dropping-particle&quot;:&quot;&quot;,&quot;non-dropping-particle&quot;:&quot;&quot;},{&quot;family&quot;:&quot;Mittermayr&quot;,&quot;given&quot;:&quot;Florian&quot;,&quot;parse-names&quot;:false,&quot;dropping-particle&quot;:&quot;&quot;,&quot;non-dropping-particle&quot;:&quot;&quot;},{&quot;family&quot;:&quot;Ukrainczyk&quot;,&quot;given&quot;:&quot;Neven&quot;,&quot;parse-names&quot;:false,&quot;dropping-particle&quot;:&quot;&quot;,&quot;non-dropping-particle&quot;:&quot;&quot;},{&quot;family&quot;:&quot;Koraimann&quot;,&quot;given&quot;:&quot;Günther&quot;,&quot;parse-names&quot;:false,&quot;dropping-particle&quot;:&quot;&quot;,&quot;non-dropping-particle&quot;:&quot;&quot;},{&quot;family&quot;:&quot;Kienesberger&quot;,&quot;given&quot;:&quot;Sabine&quot;,&quot;parse-names&quot;:false,&quot;dropping-particle&quot;:&quot;&quot;,&quot;non-dropping-particle&quot;:&quot;&quot;},{&quot;family&quot;:&quot;Dietzel&quot;,&quot;given&quot;:&quot;Martin&quot;,&quot;parse-names&quot;:false,&quot;dropping-particle&quot;:&quot;&quot;,&quot;non-dropping-particle&quot;:&quot;&quot;}],&quot;container-title&quot;:&quot;Water Research&quot;,&quot;container-title-short&quot;:&quot;Water Res.&quot;,&quot;accessed&quot;:{&quot;date-parts&quot;:[[2026,2,27]]},&quot;DOI&quot;:&quot;10.1016/j.watres.2018.01.043&quot;,&quot;ISSN&quot;:&quot;18792448&quot;,&quot;PMID&quot;:&quot;29453009&quot;,&quot;URL&quot;:&quot;https://doi.org/10.1039/C5RA12776A&quot;,&quot;issued&quot;:{&quot;date-parts&quot;:[[2018,5,1]]},&quot;page&quot;:&quot;341-352&quot;,&quot;abstract&quot;:&quot;Microbial induced concrete corrosion (MICC) is recognized as one of the main degradation mechanisms of subsurface infrastructure worldwide, raising the demand for sustainable construction materials in corrosive environments. This review aims to summarize the key research progress acquired during the last decade regarding the understanding of MICC reaction mechanisms and the development of durable materials from an interdisciplinary perspective. Special focus was laid on aspects governing concrete - micoorganisms interaction since being the central process steering biogenic acid corrosion. The insufficient knowledge regarding the latter is proposed as a central reason for insufficient progress in tailored material development for aggressive wastewater systems. To date no cement-based material exists, suitable to withstand the aggressive conditions related to MICC over its entire service life. Research is in particular needed on the impact of physiochemical material parameters on microbial community structure, growth characteristics and limitations within individual concrete speciation. Herein an interdisciplinary approach is presented by combining results from material sciences, microbiology, mineralogy and hydrochemistry to stimulate the development of novel and sustainable materials and mitigation strategies for MICC. For instance, the application of antibacteriostatic agents is introduced as an effective instrument to limit microbial growth on concrete surfaces in aggressive sewer environments. Additionally, geopolymer concretes are introduced as highly resistent in acid environments, thus representing a possible green alternative to conventional cement-based construction materials.&quot;,&quot;publisher&quot;:&quot;Pergamon&quot;,&quot;issue&quot;:&quot;79&quot;,&quot;volume&quot;:&quot;134&quot;},&quot;isTemporary&quot;:false}]},{&quot;citationID&quot;:&quot;MENDELEY_CITATION_5dca2fa4-a504-410d-b9f4-244bfb824dfe&quot;,&quot;properties&quot;:{&quot;noteIndex&quot;:0},&quot;isEdited&quot;:false,&quot;manualOverride&quot;:{&quot;isManuallyOverridden&quot;:false,&quot;citeprocText&quot;:&quot;[3,4]&quot;,&quot;manualOverrideText&quot;:&quot;&quot;},&quot;citationTag&quot;:&quot;MENDELEY_CITATION_v3_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&quot;,&quot;citationItems&quot;:[{&quot;id&quot;:&quot;3eabc353-394c-3773-8a6f-1c7b4b2e079f&quot;,&quot;itemData&quot;:{&quot;type&quot;:&quot;article-journal&quot;,&quot;id&quot;:&quot;3eabc353-394c-3773-8a6f-1c7b4b2e079f&quot;,&quot;title&quot;:&quot;The corrosion rate and microstructure of Portland cement and calcium aluminate cement-based concrete mixtures in outfall sewers: A comparative study&quot;,&quot;groupId&quot;:&quot;e885b09d-8da9-3652-9150-e3083be7b227&quot;,&quot;author&quot;:[{&quot;family&quot;:&quot;Kiliswa&quot;,&quot;given&quot;:&quot;Moses W.&quot;,&quot;parse-names&quot;:false,&quot;dropping-particle&quot;:&quot;&quot;,&quot;non-dropping-particle&quot;:&quot;&quot;},{&quot;family&quot;:&quot;Scrivener&quot;,&quot;given&quot;:&quot;Karen L.&quot;,&quot;parse-names&quot;:false,&quot;dropping-particle&quot;:&quot;&quot;,&quot;non-dropping-particle&quot;:&quot;&quot;},{&quot;family&quot;:&quot;Alexander&quot;,&quot;given&quot;:&quot;Mark G.&quot;,&quot;parse-names&quot;:false,&quot;dropping-particle&quot;:&quot;&quot;,&quot;non-dropping-particle&quot;:&quot;&quot;}],&quot;container-title&quot;:&quot;Cement and Concrete Research&quot;,&quot;container-title-short&quot;:&quot;Cem. Concr. Res.&quot;,&quot;DOI&quot;:&quot;10.1016/j.cemconres.2019.105818&quot;,&quot;ISSN&quot;:&quot;00088846&quot;,&quot;issued&quot;:{&quot;date-parts&quot;:[[2019,10,1]]},&quot;abstract&quot;:&quot;This paper presents a comparative study on the corrosion rate and microstructural characteristics of Portland cement (PC) and calcium aluminate cement (CAC) -based concrete mixtures subjected to microbially-induced sulphuric acid (biogenic H2SO4) attack for 120 months in an outfall sewer. The higher amount of the amorphous AHx within the CAC-based concrete matrix provides a higher neutralisation capacity to the attacking acid, thus giving it better performance than PC-based concrete mixtures during biogenic H2SO4 attack. In addition the results show that the biogenic corrosion rate of PC-based concrete mixtures increases with the cement content while that of CAC-based concrete mixtures decreases with the cement content.&quot;,&quot;publisher&quot;:&quot;Elsevier Ltd&quot;,&quot;volume&quot;:&quot;124&quot;},&quot;isTemporary&quot;:false},{&quot;id&quot;:&quot;072886f3-23ae-3fde-a3e9-c45136e9e6d5&quot;,&quot;itemData&quot;:{&quot;type&quot;:&quot;article-journal&quot;,&quot;id&quot;:&quot;072886f3-23ae-3fde-a3e9-c45136e9e6d5&quot;,&quot;title&quot;:&quot;Durability of calcium aluminate and sulphate resistant Portland cement based mortars in aggressive sewer environment and sulphuric acid&quot;,&quot;groupId&quot;:&quot;e885b09d-8da9-3652-9150-e3083be7b227&quot;,&quot;author&quot;:[{&quot;family&quot;:&quot;Khan&quot;,&quot;given&quot;:&quot;Hammad A.&quot;,&quot;parse-names&quot;:false,&quot;dropping-particle&quot;:&quot;&quot;,&quot;non-dropping-particle&quot;:&quot;&quot;},{&quot;family&quot;:&quot;Castel&quot;,&quot;given&quot;:&quot;Arnaud&quot;,&quot;parse-names&quot;:false,&quot;dropping-particle&quot;:&quot;&quot;,&quot;non-dropping-particle&quot;:&quot;&quot;},{&quot;family&quot;:&quot;Khan&quot;,&quot;given&quot;:&quot;Mohammad S.H.&quot;,&quot;parse-names&quot;:false,&quot;dropping-particle&quot;:&quot;&quot;,&quot;non-dropping-particle&quot;:&quot;&quot;},{&quot;family&quot;:&quot;Mahmood&quot;,&quot;given&quot;:&quot;Aziz H.&quot;,&quot;parse-names&quot;:false,&quot;dropping-particle&quot;:&quot;&quot;,&quot;non-dropping-particle&quot;:&quot;&quot;}],&quot;container-title&quot;:&quot;Cement and Concrete Research&quot;,&quot;container-title-short&quot;:&quot;Cem. Concr. Res.&quot;,&quot;DOI&quot;:&quot;10.1016/j.cemconres.2019.105852&quot;,&quot;ISSN&quot;:&quot;00088846&quot;,&quot;issued&quot;:{&quot;date-parts&quot;:[[2019,10,1]]},&quot;abstract&quot;:&quot;This study aims to compare the performance of sulphate resisting (SR) Portland cement mortar (SRm) and calcium aluminate cement mortars (CACm) in both natural sewer environment and sulphuric acid. Specimens were extracted after 12 and 24 months from field exposure, and were also removed from 1.5% sulphuric acid (H2SO4) after 6 months to investigate the deterioration caused by chemically induced corrosion. Visual, physical and extensive microstructural analyses were performed to evaluate the degradation of CACm and SRm matrix using techniques such as Scanning Electron Microscopy (SEM), Energy Dispersive X-Ray (EDX), X-Ray Diffraction (XRD) and Fourier Transform Infrared (FTIR) Spectroscopy. Surface pH was estimated after 12 and 24 months of field exposure to identify the initiation of biotic film development due to microbial induced corrosion (MIC). Material properties such as mass loss, compressive strength, linear expansion, and pH profile with respect to neutralization depth were also measured. The difference in mechanism of deterioration was also highlighted based on microstructural investigations between in field experimentation and acid exposure. The results showed that overall CACm performed significantly better than SRm in onsite sewer environment and sulphuric acid solution in terms of visual observations, loss in mass, compressive strength reduction, depth of neutralization, reduction in pH and penetration of sulphur. Crystallization of gypsum within the matrix of both mixes was the main factor behind the deterioration observed using XRD and FTIR from both in field and acid attack exposure, with higher deterioration within the matrix of SRm as compared to CACm. Moreover, sulphuric acid testing is suitable for screening the mixes rapidly against acidic environment, but due to the major differences observed in deterioration processes with natural field conditions this method is unsuitable for service life design of sewage structures.&quot;,&quot;publisher&quot;:&quot;Elsevier Ltd&quot;,&quot;volume&quot;:&quot;124&quot;},&quot;isTemporary&quot;:false}]},{&quot;citationID&quot;:&quot;MENDELEY_CITATION_4ba1a0f1-7184-4500-8b5e-05467a651365&quot;,&quot;properties&quot;:{&quot;noteIndex&quot;:0},&quot;isEdited&quot;:false,&quot;manualOverride&quot;:{&quot;isManuallyOverridden&quot;:false,&quot;citeprocText&quot;:&quot;[5]&quot;,&quot;manualOverrideText&quot;:&quot;&quot;},&quot;citationTag&quot;:&quot;MENDELEY_CITATION_v3_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&quot;,&quot;citationItems&quot;:[{&quot;id&quot;:&quot;3b8dcb6a-d677-3ecc-b202-1adaa0b3e933&quot;,&quot;itemData&quot;:{&quot;type&quot;:&quot;article-journal&quot;,&quot;id&quot;:&quot;3b8dcb6a-d677-3ecc-b202-1adaa0b3e933&quot;,&quot;title&quot;:&quot;Performance of Sewer Concretes with Calcium Sulpho-Aluminate Cement and Portland Cement Blends: Field and Laboratory Studies&quot;,&quot;groupId&quot;:&quot;e885b09d-8da9-3652-9150-e3083be7b227&quot;,&quot;author&quot;:[{&quot;family&quot;:&quot;Bakera&quot;,&quot;given&quot;:&quot;Alice Titus&quot;,&quot;parse-names&quot;:false,&quot;dropping-particle&quot;:&quot;&quot;,&quot;non-dropping-particle&quot;:&quot;&quot;},{&quot;family&quot;:&quot;Aboulela&quot;,&quot;given&quot;:&quot;Amr&quot;,&quot;parse-names&quot;:false,&quot;dropping-particle&quot;:&quot;&quot;,&quot;non-dropping-particle&quot;:&quot;&quot;},{&quot;family&quot;:&quot;Alexander&quot;,&quot;given&quot;:&quot;Mark G.&quot;,&quot;parse-names&quot;:false,&quot;dropping-particle&quot;:&quot;&quot;,&quot;non-dropping-particle&quot;:&quot;&quot;},{&quot;family&quot;:&quot;Bertron&quot;,&quot;given&quot;:&quot;Alexandra&quot;,&quot;parse-names&quot;:false,&quot;dropping-particle&quot;:&quot;&quot;,&quot;non-dropping-particle&quot;:&quot;&quot;},{&quot;family&quot;:&quot;Peyre Lavigne&quot;,&quot;given&quot;:&quot;Matthieu&quot;,&quot;parse-names&quot;:false,&quot;dropping-particle&quot;:&quot;&quot;,&quot;non-dropping-particle&quot;:&quot;&quot;},{&quot;family&quot;:&quot;Meulenyzer&quot;,&quot;given&quot;:&quot;Samuel&quot;,&quot;parse-names&quot;:false,&quot;dropping-particle&quot;:&quot;&quot;,&quot;non-dropping-particle&quot;:&quot;&quot;},{&quot;family&quot;:&quot;Patapy&quot;,&quot;given&quot;:&quot;Cédric&quot;,&quot;parse-names&quot;:false,&quot;dropping-particle&quot;:&quot;&quot;,&quot;non-dropping-particle&quot;:&quot;&quot;}],&quot;container-title&quot;:&quot;Materials (Basel, Switzerland)&quot;,&quot;container-title-short&quot;:&quot;Materials (Basel).&quot;,&quot;accessed&quot;:{&quot;date-parts&quot;:[[2026,2,28]]},&quot;DOI&quot;:&quot;10.3390/ma18061256&quot;,&quot;ISSN&quot;:&quot;19961944&quot;,&quot;PMID&quot;:&quot;40141539&quot;,&quot;URL&quot;:&quot;https://pubmed.ncbi.nlm.nih.gov/40141539/&quot;,&quot;issued&quot;:{&quot;date-parts&quot;:[[2025,3,1]]},&quot;abstract&quot;:&quot;This paper discusses the performance of calcium sulpho-aluminate (CSA) cement and a Sulphate-Resisting Portland Cement (SRPC) with a fly ash (FA) additive (i.e., a SRPC + FA binder system) in a ‘live’ sewer environment; it deepens the understanding of their deterioration mechanisms by using a laboratory test for simulated sewer conditions. It also studies the role of an iron-based additive (‘Hard-Cem®’, HC) in improving the performance of SRPC + FA concrete under a biogenic acid attack. The performance of 0.4 w/b concrete specimens of the three binders (CSA, SRPC + FA, and SRPC + FA + HC) with calcite aggregates in sewer exposure was assessed by visual observation, measurements of mass and thickness changes, and microstructural analysis for approximately 25 months. The laboratory test, i.e., the Biogenic Acid Concrete (BAC) test, was used to study the deterioration mechanisms of these binders in terms of leaching solution pH and standardised cumulative leached calcium and aluminium. The results indicate that CSA concrete had improved performance in the sewer environment, showing no mass loss and only about one-third of thickness lost in the SRPC + FA concrete over a 25-month exposure period in the sewer environment. The BAC test results complemented the field observations. The iron-based additive in sewer concrete slightly reduced mass loss, likely due to its better resistance to abrasion and erosion, but not due to any chemical influence, since it does not participate in hydration or dissolution reactions. The findings imply that CSA cement may represent a suitable alternative binder for concrete sewer construction. They also suggest that a surface hardener has limited benefits, except when it is under abrasive conditions. Further investigation is required, especially since CSA contains high amounts of sulphate, the effect of which is not well understood.&quot;,&quot;publisher&quot;:&quot;Materials (Basel)&quot;,&quot;issue&quot;:&quot;6&quot;,&quot;volume&quot;:&quot;18&quot;},&quot;isTemporary&quot;:false}]},{&quot;citationID&quot;:&quot;MENDELEY_CITATION_dafe2b51-b32f-43ad-b21e-117f316d5e4a&quot;,&quot;properties&quot;:{&quot;noteIndex&quot;:0},&quot;isEdited&quot;:false,&quot;manualOverride&quot;:{&quot;isManuallyOverridden&quot;:false,&quot;citeprocText&quot;:&quot;[2,6,7]&quot;,&quot;manualOverrideText&quot;:&quot;&quot;},&quot;citationItems&quot;:[{&quot;id&quot;:&quot;14332ca0-ee1e-3055-bbf6-597d7855b26f&quot;,&quot;itemData&quot;:{&quot;type&quot;:&quot;article-journal&quot;,&quot;id&quot;:&quot;14332ca0-ee1e-3055-bbf6-597d7855b26f&quot;,&quot;title&quot;:&quot;Advances in concrete materials for sewer systems affected by microbial induced concrete corrosion: A review&quot;,&quot;groupId&quot;:&quot;e885b09d-8da9-3652-9150-e3083be7b227&quot;,&quot;author&quot;:[{&quot;family&quot;:&quot;Grengg&quot;,&quot;given&quot;:&quot;Cyrill&quot;,&quot;parse-names&quot;:false,&quot;dropping-particle&quot;:&quot;&quot;,&quot;non-dropping-particle&quot;:&quot;&quot;},{&quot;family&quot;:&quot;Mittermayr&quot;,&quot;given&quot;:&quot;Florian&quot;,&quot;parse-names&quot;:false,&quot;dropping-particle&quot;:&quot;&quot;,&quot;non-dropping-particle&quot;:&quot;&quot;},{&quot;family&quot;:&quot;Ukrainczyk&quot;,&quot;given&quot;:&quot;Neven&quot;,&quot;parse-names&quot;:false,&quot;dropping-particle&quot;:&quot;&quot;,&quot;non-dropping-particle&quot;:&quot;&quot;},{&quot;family&quot;:&quot;Koraimann&quot;,&quot;given&quot;:&quot;Günther&quot;,&quot;parse-names&quot;:false,&quot;dropping-particle&quot;:&quot;&quot;,&quot;non-dropping-particle&quot;:&quot;&quot;},{&quot;family&quot;:&quot;Kienesberger&quot;,&quot;given&quot;:&quot;Sabine&quot;,&quot;parse-names&quot;:false,&quot;dropping-particle&quot;:&quot;&quot;,&quot;non-dropping-particle&quot;:&quot;&quot;},{&quot;family&quot;:&quot;Dietzel&quot;,&quot;given&quot;:&quot;Martin&quot;,&quot;parse-names&quot;:false,&quot;dropping-particle&quot;:&quot;&quot;,&quot;non-dropping-particle&quot;:&quot;&quot;}],&quot;container-title&quot;:&quot;Water Research&quot;,&quot;container-title-short&quot;:&quot;Water Res.&quot;,&quot;accessed&quot;:{&quot;date-parts&quot;:[[2026,2,27]]},&quot;DOI&quot;:&quot;10.1016/j.watres.2018.01.043&quot;,&quot;ISSN&quot;:&quot;18792448&quot;,&quot;PMID&quot;:&quot;29453009&quot;,&quot;URL&quot;:&quot;https://doi.org/10.1039/C5RA12776A&quot;,&quot;issued&quot;:{&quot;date-parts&quot;:[[2018,5,1]]},&quot;page&quot;:&quot;341-352&quot;,&quot;abstract&quot;:&quot;Microbial induced concrete corrosion (MICC) is recognized as one of the main degradation mechanisms of subsurface infrastructure worldwide, raising the demand for sustainable construction materials in corrosive environments. This review aims to summarize the key research progress acquired during the last decade regarding the understanding of MICC reaction mechanisms and the development of durable materials from an interdisciplinary perspective. Special focus was laid on aspects governing concrete - micoorganisms interaction since being the central process steering biogenic acid corrosion. The insufficient knowledge regarding the latter is proposed as a central reason for insufficient progress in tailored material development for aggressive wastewater systems. To date no cement-based material exists, suitable to withstand the aggressive conditions related to MICC over its entire service life. Research is in particular needed on the impact of physiochemical material parameters on microbial community structure, growth characteristics and limitations within individual concrete speciation. Herein an interdisciplinary approach is presented by combining results from material sciences, microbiology, mineralogy and hydrochemistry to stimulate the development of novel and sustainable materials and mitigation strategies for MICC. For instance, the application of antibacteriostatic agents is introduced as an effective instrument to limit microbial growth on concrete surfaces in aggressive sewer environments. Additionally, geopolymer concretes are introduced as highly resistent in acid environments, thus representing a possible green alternative to conventional cement-based construction materials.&quot;,&quot;publisher&quot;:&quot;Pergamon&quot;,&quot;issue&quot;:&quot;79&quot;,&quot;volume&quot;:&quot;134&quot;},&quot;isTemporary&quot;:false},{&quot;id&quot;:&quot;5dac38c5-ac19-313c-8438-f16d3bfbce0a&quot;,&quot;itemData&quot;:{&quot;type&quot;:&quot;article-journal&quot;,&quot;id&quot;:&quot;5dac38c5-ac19-313c-8438-f16d3bfbce0a&quot;,&quot;title&quot;:&quot;Sulfuric acid resistance of one-part alkali-activated mortars&quot;,&quot;groupId&quot;:&quot;e885b09d-8da9-3652-9150-e3083be7b227&quot;,&quot;author&quot;:[{&quot;family&quot;:&quot;Sturm&quot;,&quot;given&quot;:&quot;P.&quot;,&quot;parse-names&quot;:false,&quot;dropping-particle&quot;:&quot;&quot;,&quot;non-dropping-particle&quot;:&quot;&quot;},{&quot;family&quot;:&quot;Gluth&quot;,&quot;given&quot;:&quot;G. J.G.&quot;,&quot;parse-names&quot;:false,&quot;dropping-particle&quot;:&quot;&quot;,&quot;non-dropping-particle&quot;:&quot;&quot;},{&quot;family&quot;:&quot;Jäger&quot;,&quot;given&quot;:&quot;C.&quot;,&quot;parse-names&quot;:false,&quot;dropping-particle&quot;:&quot;&quot;,&quot;non-dropping-particle&quot;:&quot;&quot;},{&quot;family&quot;:&quot;Brouwers&quot;,&quot;given&quot;:&quot;H. J.H.&quot;,&quot;parse-names&quot;:false,&quot;dropping-particle&quot;:&quot;&quot;,&quot;non-dropping-particle&quot;:&quot;&quot;},{&quot;family&quot;:&quot;Kühne&quot;,&quot;given&quot;:&quot;H. C.&quot;,&quot;parse-names&quot;:false,&quot;dropping-particle&quot;:&quot;&quot;,&quot;non-dropping-particle&quot;:&quot;&quot;}],&quot;container-title&quot;:&quot;Cement and Concrete Research&quot;,&quot;container-title-short&quot;:&quot;Cem. Concr. Res.&quot;,&quot;accessed&quot;:{&quot;date-parts&quot;:[[2026,2,27]]},&quot;DOI&quot;:&quot;10.1016/j.cemconres.2018.04.009&quot;,&quot;ISSN&quot;:&quot;00088846&quot;,&quot;URL&quot;:&quot;https://doi.org/10.1080/09593338409384307&quot;,&quot;issued&quot;:{&quot;date-parts&quot;:[[2018,7,1]]},&quot;page&quot;:&quot;54-63&quot;,&quot;abstract&quot;:&quot;One-part alkali-activated (geopolymer) mortars based on three different silica-rich starting materials and sodium aluminate, with and without ground granulated blast furnace slag (GGBFS) addition, were tested regarding sulfuric acid resistance according to DIN 19573:2016-03 (70 days at pH = 1). Corresponding pastes were characterized by XRD, SEM, chemical analysis, 29Si MAS NMR and 1H-29Si CPMAS NMR after water storage and after acid exposure. The mortars exhibited a high resistance against sulfuric acid attack, with the best ones conforming to the requirements of DIN 19573:2016-03. The analytical results showed that this was due to precipitation of silica gel at the acid-mortar interface, which formed a mechanically stable layer that protected the subjacent mortar and thus inhibited further degradation. The addition of GGBFS decreased the acid resistance via formation of expansive calcium sulfate phases.&quot;,&quot;publisher&quot;:&quot;Pergamon&quot;,&quot;issue&quot;:&quot;12&quot;,&quot;volume&quot;:&quot;109&quot;},&quot;isTemporary&quot;:false},{&quot;id&quot;:&quot;93027cf9-d4f8-3f42-90f4-8169971c7dcb&quot;,&quot;itemData&quot;:{&quot;type&quot;:&quot;article-journal&quot;,&quot;id&quot;:&quot;93027cf9-d4f8-3f42-90f4-8169971c7dcb&quot;,&quot;title&quot;:&quot;Deterioration of alkali-activated mortars exposed to natural aggressive sewer environment&quot;,&quot;groupId&quot;:&quot;e885b09d-8da9-3652-9150-e3083be7b227&quot;,&quot;author&quot;:[{&quot;family&quot;:&quot;Khan&quot;,&quot;given&quot;:&quot;Hammad A.&quot;,&quot;parse-names&quot;:false,&quot;dropping-particle&quot;:&quot;&quot;,&quot;non-dropping-particle&quot;:&quot;&quot;},{&quot;family&quot;:&quot;Khan&quot;,&quot;given&quot;:&quot;Mohammad S.H.&quot;,&quot;parse-names&quot;:false,&quot;dropping-particle&quot;:&quot;&quot;,&quot;non-dropping-particle&quot;:&quot;&quot;},{&quot;family&quot;:&quot;Castel&quot;,&quot;given&quot;:&quot;Arnaud&quot;,&quot;parse-names&quot;:false,&quot;dropping-particle&quot;:&quot;&quot;,&quot;non-dropping-particle&quot;:&quot;&quot;},{&quot;family&quot;:&quot;Sunarho&quot;,&quot;given&quot;:&quot;Jerry&quot;,&quot;parse-names&quot;:false,&quot;dropping-particle&quot;:&quot;&quot;,&quot;non-dropping-particle&quot;:&quot;&quot;}],&quot;container-title&quot;:&quot;Construction and Building Materials&quot;,&quot;container-title-short&quot;:&quot;Constr. Build. Mater.&quot;,&quot;accessed&quot;:{&quot;date-parts&quot;:[[2026,2,27]]},&quot;DOI&quot;:&quot;10.1016/j.conbuildmat.2018.07.137&quot;,&quot;ISSN&quot;:&quot;09500618&quot;,&quot;URL&quot;:&quot;https://doi.org/10.1007/s10853-006-0532-7&quot;,&quot;issued&quot;:{&quot;date-parts&quot;:[[2018,10,20]]},&quot;page&quot;:&quot;577-597&quot;,&quot;abstract&quot;:&quot;This study aims to evaluate the performance of low calcium fly ash based geopolymer (FA-GPm) and alkali-activated slag based mortars (AASm) in an aggressive sewer environment. Specimens were extracted from field exposure, after 6 and 12 months. Visual, chemical and physical analyses were performed to evaluate the deterioration. Surface pH was evaluated to identify the microbial induced corrosion (MIC) stage in each specimen. The neutralization depth of the specimens was measured by using the phenolphthalein indicator. Extensive microstructural analyses were carried out to assess the extent and type of deterioration of gel matrix by using techniques such as scanning electron microscopy (SEM), energy dispersive X-Ray (EDX), X-Ray diffraction (XRD) and Raman spectroscopy. Results showed greater depth of neutralization and surface pH reduction in FA-GPm as compared to AASm. Further investigation on penetration of sulphur confirmed much higher diffusion in FA-GPm as compared to AASm. XRD and SEM with EDX analysis showed the crystallization of thenardite and gypsum within the matrix of FA-GPm and AAS mortar, respectively, which was also, confirmed by Raman spectroscopy results. Extend of overall matrix deterioration was much higher in FA-GPm as a result of thenardite crystallization as compared to AASm after 12 months of exposure.&quot;,&quot;publisher&quot;:&quot;Elsevier&quot;,&quot;issue&quot;:&quot;9&quot;,&quot;volume&quot;:&quot;186&quot;},&quot;isTemporary&quot;:false}],&quot;citationTag&quot;:&quot;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&quot;}]"/>
    <we:property name="MENDELEY_CITATIONS_LOCALE_CODE" value="&quot;en-US&quot;"/>
    <we:property name="MENDELEY_CITATIONS_STYLE" value="{&quot;id&quot;:&quot;https://www.zotero.org/styles/cement-and-concrete-research&quot;,&quot;title&quot;:&quot;Cement and Concrete Research&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AD2C4-2379-C941-AFCD-5666BF374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4</Pages>
  <Words>1207</Words>
  <Characters>8309</Characters>
  <Application>Microsoft Office Word</Application>
  <DocSecurity>0</DocSecurity>
  <Lines>437</Lines>
  <Paragraphs>190</Paragraphs>
  <ScaleCrop>false</ScaleCrop>
  <HeadingPairs>
    <vt:vector size="2" baseType="variant">
      <vt:variant>
        <vt:lpstr>Title</vt:lpstr>
      </vt:variant>
      <vt:variant>
        <vt:i4>1</vt:i4>
      </vt:variant>
    </vt:vector>
  </HeadingPairs>
  <TitlesOfParts>
    <vt:vector size="1" baseType="lpstr">
      <vt:lpstr/>
    </vt:vector>
  </TitlesOfParts>
  <Company>NGU</Company>
  <LinksUpToDate>false</LinksUpToDate>
  <CharactersWithSpaces>9326</CharactersWithSpaces>
  <SharedDoc>false</SharedDoc>
  <HLinks>
    <vt:vector size="6" baseType="variant">
      <vt:variant>
        <vt:i4>7667727</vt:i4>
      </vt:variant>
      <vt:variant>
        <vt:i4>0</vt:i4>
      </vt:variant>
      <vt:variant>
        <vt:i4>0</vt:i4>
      </vt:variant>
      <vt:variant>
        <vt:i4>5</vt:i4>
      </vt:variant>
      <vt:variant>
        <vt:lpwstr>mailto:maarten.broekmans@ngu.no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furnas</dc:creator>
  <cp:lastModifiedBy>Bishwjeet Binwal</cp:lastModifiedBy>
  <cp:revision>23</cp:revision>
  <cp:lastPrinted>2015-06-10T00:26:00Z</cp:lastPrinted>
  <dcterms:created xsi:type="dcterms:W3CDTF">2026-03-04T02:04:00Z</dcterms:created>
  <dcterms:modified xsi:type="dcterms:W3CDTF">2026-03-04T07:33:00Z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3419965f-cce8-41f4-b506-85b930541ff9</vt:lpwstr>
  </property>
</Properties>
</file>