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86176" w14:textId="32BD34B9" w:rsidR="003213D4" w:rsidRPr="003213D4" w:rsidRDefault="003213D4" w:rsidP="003213D4">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center"/>
        <w:rPr>
          <w:rFonts w:ascii="Arial" w:eastAsiaTheme="majorEastAsia" w:hAnsi="Arial" w:cstheme="majorBidi"/>
          <w:b/>
          <w:caps/>
          <w:color w:val="000000" w:themeColor="text1"/>
          <w:sz w:val="28"/>
          <w:szCs w:val="32"/>
        </w:rPr>
      </w:pPr>
      <w:r w:rsidRPr="003213D4">
        <w:rPr>
          <w:rFonts w:ascii="Arial" w:eastAsiaTheme="majorEastAsia" w:hAnsi="Arial" w:cstheme="majorBidi"/>
          <w:b/>
          <w:caps/>
          <w:color w:val="000000" w:themeColor="text1"/>
          <w:sz w:val="28"/>
          <w:szCs w:val="32"/>
        </w:rPr>
        <w:t>Calcium Aluminate Cements in Context: Durability Mechanisms and Transport</w:t>
      </w:r>
      <w:r w:rsidRPr="003213D4">
        <w:rPr>
          <w:rFonts w:ascii="Arial" w:eastAsiaTheme="majorEastAsia" w:hAnsi="Arial" w:cstheme="majorBidi"/>
          <w:b/>
          <w:caps/>
          <w:color w:val="000000" w:themeColor="text1"/>
          <w:sz w:val="28"/>
          <w:szCs w:val="32"/>
        </w:rPr>
        <w:noBreakHyphen/>
        <w:t>Controlled Performance</w:t>
      </w:r>
      <w:r>
        <w:rPr>
          <w:rFonts w:ascii="Arial" w:eastAsiaTheme="majorEastAsia" w:hAnsi="Arial" w:cstheme="majorBidi"/>
          <w:b/>
          <w:caps/>
          <w:color w:val="000000" w:themeColor="text1"/>
          <w:sz w:val="28"/>
          <w:szCs w:val="32"/>
        </w:rPr>
        <w:t xml:space="preserve"> </w:t>
      </w:r>
      <w:proofErr w:type="gramStart"/>
      <w:r>
        <w:rPr>
          <w:rFonts w:ascii="Arial" w:eastAsiaTheme="majorEastAsia" w:hAnsi="Arial" w:cstheme="majorBidi"/>
          <w:b/>
          <w:caps/>
          <w:color w:val="000000" w:themeColor="text1"/>
          <w:sz w:val="28"/>
          <w:szCs w:val="32"/>
        </w:rPr>
        <w:t xml:space="preserve">For </w:t>
      </w:r>
      <w:r w:rsidRPr="003213D4">
        <w:rPr>
          <w:rFonts w:ascii="Arial" w:eastAsiaTheme="majorEastAsia" w:hAnsi="Arial" w:cstheme="majorBidi"/>
          <w:b/>
          <w:caps/>
          <w:color w:val="000000" w:themeColor="text1"/>
          <w:sz w:val="28"/>
          <w:szCs w:val="32"/>
        </w:rPr>
        <w:t xml:space="preserve"> Conventional</w:t>
      </w:r>
      <w:proofErr w:type="gramEnd"/>
      <w:r w:rsidRPr="003213D4">
        <w:rPr>
          <w:rFonts w:ascii="Arial" w:eastAsiaTheme="majorEastAsia" w:hAnsi="Arial" w:cstheme="majorBidi"/>
          <w:b/>
          <w:caps/>
          <w:color w:val="000000" w:themeColor="text1"/>
          <w:sz w:val="28"/>
          <w:szCs w:val="32"/>
        </w:rPr>
        <w:t xml:space="preserve"> Concrete</w:t>
      </w:r>
      <w:r>
        <w:rPr>
          <w:rFonts w:ascii="Arial" w:eastAsiaTheme="majorEastAsia" w:hAnsi="Arial" w:cstheme="majorBidi"/>
          <w:b/>
          <w:caps/>
          <w:color w:val="000000" w:themeColor="text1"/>
          <w:sz w:val="28"/>
          <w:szCs w:val="32"/>
        </w:rPr>
        <w:t xml:space="preserve"> Applications</w:t>
      </w:r>
    </w:p>
    <w:p w14:paraId="37434332" w14:textId="77777777" w:rsidR="002709B6" w:rsidRPr="00F7640D" w:rsidRDefault="002709B6" w:rsidP="00634EAD">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center"/>
        <w:rPr>
          <w:rFonts w:ascii="Arial" w:hAnsi="Arial" w:cs="Arial"/>
          <w:sz w:val="28"/>
          <w:szCs w:val="28"/>
        </w:rPr>
      </w:pPr>
    </w:p>
    <w:p w14:paraId="0C354051" w14:textId="1C96C975" w:rsidR="00C04ED6" w:rsidRDefault="00637698" w:rsidP="007351DA">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rPr>
          <w:rFonts w:ascii="Arial" w:hAnsi="Arial" w:cs="Arial"/>
          <w:szCs w:val="24"/>
        </w:rPr>
      </w:pPr>
      <w:r>
        <w:rPr>
          <w:rFonts w:ascii="Arial" w:hAnsi="Arial" w:cs="Arial"/>
          <w:szCs w:val="24"/>
        </w:rPr>
        <w:t>Kurtis</w:t>
      </w:r>
      <w:r w:rsidR="002D6AC4">
        <w:rPr>
          <w:rFonts w:ascii="Arial" w:hAnsi="Arial" w:cs="Arial"/>
          <w:szCs w:val="24"/>
        </w:rPr>
        <w:t>*</w:t>
      </w:r>
      <w:r>
        <w:rPr>
          <w:rFonts w:ascii="Arial" w:hAnsi="Arial" w:cs="Arial"/>
          <w:szCs w:val="24"/>
        </w:rPr>
        <w:t>, Kimberly E</w:t>
      </w:r>
      <w:r w:rsidR="00C04ED6">
        <w:rPr>
          <w:rFonts w:ascii="Arial" w:hAnsi="Arial" w:cs="Arial"/>
          <w:szCs w:val="24"/>
        </w:rPr>
        <w:t xml:space="preserve">., </w:t>
      </w:r>
      <w:r w:rsidRPr="00637698">
        <w:rPr>
          <w:rFonts w:ascii="Arial" w:hAnsi="Arial" w:cs="Arial"/>
          <w:szCs w:val="24"/>
        </w:rPr>
        <w:t>Georgia Institute of Technology, Atlanta, G</w:t>
      </w:r>
      <w:r w:rsidR="00C04ED6">
        <w:rPr>
          <w:rFonts w:ascii="Arial" w:hAnsi="Arial" w:cs="Arial"/>
          <w:szCs w:val="24"/>
        </w:rPr>
        <w:t>eorgia USA</w:t>
      </w:r>
      <w:r w:rsidRPr="00637698">
        <w:rPr>
          <w:rFonts w:ascii="Arial" w:hAnsi="Arial" w:cs="Arial"/>
          <w:szCs w:val="24"/>
        </w:rPr>
        <w:t xml:space="preserve"> </w:t>
      </w:r>
    </w:p>
    <w:p w14:paraId="6D3964AC" w14:textId="77777777" w:rsidR="004F3333" w:rsidRDefault="00C04ED6" w:rsidP="007351DA">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rPr>
          <w:rFonts w:ascii="Arial" w:hAnsi="Arial" w:cs="Arial"/>
          <w:szCs w:val="24"/>
        </w:rPr>
      </w:pPr>
      <w:r>
        <w:rPr>
          <w:rFonts w:ascii="Arial" w:hAnsi="Arial" w:cs="Arial"/>
          <w:szCs w:val="24"/>
        </w:rPr>
        <w:t xml:space="preserve">Alapati, Prasanth, </w:t>
      </w:r>
      <w:r w:rsidR="00637698" w:rsidRPr="00637698">
        <w:rPr>
          <w:rFonts w:ascii="Arial" w:hAnsi="Arial" w:cs="Arial"/>
          <w:szCs w:val="24"/>
        </w:rPr>
        <w:t>Furno Materials, South San Francisco, C</w:t>
      </w:r>
      <w:r>
        <w:rPr>
          <w:rFonts w:ascii="Arial" w:hAnsi="Arial" w:cs="Arial"/>
          <w:szCs w:val="24"/>
        </w:rPr>
        <w:t>alifornia, USA</w:t>
      </w:r>
      <w:r w:rsidR="00637698" w:rsidRPr="00637698">
        <w:rPr>
          <w:rFonts w:ascii="Arial" w:hAnsi="Arial" w:cs="Arial"/>
          <w:szCs w:val="24"/>
        </w:rPr>
        <w:br/>
      </w:r>
      <w:r>
        <w:rPr>
          <w:rFonts w:ascii="Arial" w:hAnsi="Arial" w:cs="Arial"/>
          <w:szCs w:val="24"/>
        </w:rPr>
        <w:t xml:space="preserve">Burris, Lisa, The </w:t>
      </w:r>
      <w:r w:rsidR="00637698" w:rsidRPr="00637698">
        <w:rPr>
          <w:rFonts w:ascii="Arial" w:hAnsi="Arial" w:cs="Arial"/>
          <w:szCs w:val="24"/>
        </w:rPr>
        <w:t>Ohio State University, Columbus, O</w:t>
      </w:r>
      <w:r>
        <w:rPr>
          <w:rFonts w:ascii="Arial" w:hAnsi="Arial" w:cs="Arial"/>
          <w:szCs w:val="24"/>
        </w:rPr>
        <w:t>hio, USA</w:t>
      </w:r>
      <w:r w:rsidR="00637698" w:rsidRPr="00637698">
        <w:rPr>
          <w:rFonts w:ascii="Arial" w:hAnsi="Arial" w:cs="Arial"/>
          <w:szCs w:val="24"/>
        </w:rPr>
        <w:br/>
      </w:r>
      <w:r>
        <w:rPr>
          <w:rFonts w:ascii="Arial" w:hAnsi="Arial" w:cs="Arial"/>
          <w:szCs w:val="24"/>
        </w:rPr>
        <w:t xml:space="preserve">Ley, </w:t>
      </w:r>
      <w:proofErr w:type="spellStart"/>
      <w:proofErr w:type="gramStart"/>
      <w:r>
        <w:rPr>
          <w:rFonts w:ascii="Arial" w:hAnsi="Arial" w:cs="Arial"/>
          <w:szCs w:val="24"/>
        </w:rPr>
        <w:t>M.Tyler</w:t>
      </w:r>
      <w:proofErr w:type="spellEnd"/>
      <w:proofErr w:type="gramEnd"/>
      <w:r>
        <w:rPr>
          <w:rFonts w:ascii="Arial" w:hAnsi="Arial" w:cs="Arial"/>
          <w:szCs w:val="24"/>
        </w:rPr>
        <w:t xml:space="preserve">, </w:t>
      </w:r>
      <w:r w:rsidR="00637698" w:rsidRPr="00637698">
        <w:rPr>
          <w:rFonts w:ascii="Arial" w:hAnsi="Arial" w:cs="Arial"/>
          <w:szCs w:val="24"/>
        </w:rPr>
        <w:t>Oklahoma State University, Stillwater, O</w:t>
      </w:r>
      <w:r>
        <w:rPr>
          <w:rFonts w:ascii="Arial" w:hAnsi="Arial" w:cs="Arial"/>
          <w:szCs w:val="24"/>
        </w:rPr>
        <w:t>klahoma, USA</w:t>
      </w:r>
      <w:r w:rsidR="00637698" w:rsidRPr="00637698">
        <w:rPr>
          <w:rFonts w:ascii="Arial" w:hAnsi="Arial" w:cs="Arial"/>
          <w:szCs w:val="24"/>
        </w:rPr>
        <w:br/>
      </w:r>
      <w:r w:rsidR="00F622C9">
        <w:rPr>
          <w:rFonts w:ascii="Arial" w:hAnsi="Arial" w:cs="Arial"/>
          <w:szCs w:val="24"/>
        </w:rPr>
        <w:t xml:space="preserve">Peery, J., </w:t>
      </w:r>
      <w:r w:rsidR="00637698" w:rsidRPr="00637698">
        <w:rPr>
          <w:rFonts w:ascii="Arial" w:hAnsi="Arial" w:cs="Arial"/>
          <w:szCs w:val="24"/>
        </w:rPr>
        <w:t>Oklahoma Dep</w:t>
      </w:r>
      <w:r w:rsidR="00F622C9">
        <w:rPr>
          <w:rFonts w:ascii="Arial" w:hAnsi="Arial" w:cs="Arial"/>
          <w:szCs w:val="24"/>
        </w:rPr>
        <w:t>t.</w:t>
      </w:r>
      <w:r w:rsidR="00637698" w:rsidRPr="00637698">
        <w:rPr>
          <w:rFonts w:ascii="Arial" w:hAnsi="Arial" w:cs="Arial"/>
          <w:szCs w:val="24"/>
        </w:rPr>
        <w:t xml:space="preserve"> of </w:t>
      </w:r>
      <w:proofErr w:type="spellStart"/>
      <w:proofErr w:type="gramStart"/>
      <w:r w:rsidR="00637698" w:rsidRPr="00637698">
        <w:rPr>
          <w:rFonts w:ascii="Arial" w:hAnsi="Arial" w:cs="Arial"/>
          <w:szCs w:val="24"/>
        </w:rPr>
        <w:t>Transportation,Oklahoma</w:t>
      </w:r>
      <w:proofErr w:type="spellEnd"/>
      <w:proofErr w:type="gramEnd"/>
      <w:r w:rsidR="00637698" w:rsidRPr="00637698">
        <w:rPr>
          <w:rFonts w:ascii="Arial" w:hAnsi="Arial" w:cs="Arial"/>
          <w:szCs w:val="24"/>
        </w:rPr>
        <w:t xml:space="preserve"> City, O</w:t>
      </w:r>
      <w:r w:rsidR="00F622C9">
        <w:rPr>
          <w:rFonts w:ascii="Arial" w:hAnsi="Arial" w:cs="Arial"/>
          <w:szCs w:val="24"/>
        </w:rPr>
        <w:t>klahoma, USA</w:t>
      </w:r>
      <w:r w:rsidR="00637698" w:rsidRPr="00637698">
        <w:rPr>
          <w:rFonts w:ascii="Arial" w:hAnsi="Arial" w:cs="Arial"/>
          <w:szCs w:val="24"/>
        </w:rPr>
        <w:br/>
      </w:r>
      <w:proofErr w:type="spellStart"/>
      <w:r w:rsidR="00EC0456" w:rsidRPr="00EC0456">
        <w:rPr>
          <w:rFonts w:ascii="Arial" w:hAnsi="Arial" w:cs="Arial"/>
          <w:szCs w:val="24"/>
        </w:rPr>
        <w:t>Hajibabaee</w:t>
      </w:r>
      <w:proofErr w:type="spellEnd"/>
      <w:r w:rsidR="00EC0456">
        <w:rPr>
          <w:rFonts w:ascii="Arial" w:hAnsi="Arial" w:cs="Arial"/>
          <w:szCs w:val="24"/>
        </w:rPr>
        <w:t xml:space="preserve">, Amir, </w:t>
      </w:r>
      <w:r w:rsidR="00637698" w:rsidRPr="00637698">
        <w:rPr>
          <w:rFonts w:ascii="Arial" w:hAnsi="Arial" w:cs="Arial"/>
          <w:szCs w:val="24"/>
        </w:rPr>
        <w:t>Ozinga, Chicago, I</w:t>
      </w:r>
      <w:r w:rsidR="00EC0456">
        <w:rPr>
          <w:rFonts w:ascii="Arial" w:hAnsi="Arial" w:cs="Arial"/>
          <w:szCs w:val="24"/>
        </w:rPr>
        <w:t>llinois, USA</w:t>
      </w:r>
    </w:p>
    <w:p w14:paraId="7868231E" w14:textId="5790D04F" w:rsidR="00943D68" w:rsidRPr="00F7640D" w:rsidRDefault="004F3333" w:rsidP="00AB4736">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rPr>
          <w:rFonts w:ascii="Arial" w:hAnsi="Arial" w:cs="Arial"/>
          <w:szCs w:val="24"/>
          <w:vertAlign w:val="superscript"/>
        </w:rPr>
      </w:pPr>
      <w:proofErr w:type="spellStart"/>
      <w:r w:rsidRPr="004F3333">
        <w:rPr>
          <w:rFonts w:ascii="Arial" w:hAnsi="Arial" w:cs="Arial"/>
          <w:szCs w:val="24"/>
        </w:rPr>
        <w:t>Behravan</w:t>
      </w:r>
      <w:proofErr w:type="spellEnd"/>
      <w:r>
        <w:rPr>
          <w:rFonts w:ascii="Arial" w:hAnsi="Arial" w:cs="Arial"/>
          <w:szCs w:val="24"/>
        </w:rPr>
        <w:t xml:space="preserve">, Amir, </w:t>
      </w:r>
      <w:r w:rsidR="00637698" w:rsidRPr="00637698">
        <w:rPr>
          <w:rFonts w:ascii="Arial" w:hAnsi="Arial" w:cs="Arial"/>
          <w:szCs w:val="24"/>
        </w:rPr>
        <w:t>Virginia Dep</w:t>
      </w:r>
      <w:r>
        <w:rPr>
          <w:rFonts w:ascii="Arial" w:hAnsi="Arial" w:cs="Arial"/>
          <w:szCs w:val="24"/>
        </w:rPr>
        <w:t>t</w:t>
      </w:r>
      <w:r w:rsidR="00637698" w:rsidRPr="00637698">
        <w:rPr>
          <w:rFonts w:ascii="Arial" w:hAnsi="Arial" w:cs="Arial"/>
          <w:szCs w:val="24"/>
        </w:rPr>
        <w:t xml:space="preserve"> of Transportation, Richmond, V</w:t>
      </w:r>
      <w:r>
        <w:rPr>
          <w:rFonts w:ascii="Arial" w:hAnsi="Arial" w:cs="Arial"/>
          <w:szCs w:val="24"/>
        </w:rPr>
        <w:t>irginia, USA</w:t>
      </w:r>
      <w:r w:rsidR="00637698" w:rsidRPr="00637698">
        <w:rPr>
          <w:rFonts w:ascii="Arial" w:hAnsi="Arial" w:cs="Arial"/>
          <w:szCs w:val="24"/>
        </w:rPr>
        <w:br/>
      </w:r>
      <w:r w:rsidR="006C451C" w:rsidRPr="006C451C">
        <w:rPr>
          <w:rFonts w:ascii="Arial" w:hAnsi="Arial" w:cs="Arial"/>
          <w:szCs w:val="24"/>
        </w:rPr>
        <w:t>Khanzadeh</w:t>
      </w:r>
      <w:r w:rsidR="009C7F31">
        <w:rPr>
          <w:rFonts w:ascii="Arial" w:hAnsi="Arial" w:cs="Arial"/>
          <w:szCs w:val="24"/>
        </w:rPr>
        <w:t xml:space="preserve"> M</w:t>
      </w:r>
      <w:r w:rsidR="009C7F31" w:rsidRPr="009C7F31">
        <w:rPr>
          <w:rFonts w:ascii="Arial" w:hAnsi="Arial" w:cs="Arial"/>
          <w:szCs w:val="24"/>
        </w:rPr>
        <w:t>oradllo</w:t>
      </w:r>
      <w:r w:rsidR="006C451C">
        <w:rPr>
          <w:rFonts w:ascii="Arial" w:hAnsi="Arial" w:cs="Arial"/>
          <w:szCs w:val="24"/>
        </w:rPr>
        <w:t>, Mehdi</w:t>
      </w:r>
      <w:r w:rsidR="009C7F31">
        <w:rPr>
          <w:rFonts w:ascii="Arial" w:hAnsi="Arial" w:cs="Arial"/>
          <w:szCs w:val="24"/>
        </w:rPr>
        <w:t>,</w:t>
      </w:r>
      <w:r w:rsidR="006C451C" w:rsidRPr="006C451C">
        <w:rPr>
          <w:rFonts w:ascii="Arial" w:hAnsi="Arial" w:cs="Arial"/>
          <w:szCs w:val="24"/>
        </w:rPr>
        <w:t xml:space="preserve"> </w:t>
      </w:r>
      <w:r w:rsidR="00637698" w:rsidRPr="00637698">
        <w:rPr>
          <w:rFonts w:ascii="Arial" w:hAnsi="Arial" w:cs="Arial"/>
          <w:szCs w:val="24"/>
        </w:rPr>
        <w:t>Temple University, Philadelphia, P</w:t>
      </w:r>
      <w:r w:rsidR="009C7F31">
        <w:rPr>
          <w:rFonts w:ascii="Arial" w:hAnsi="Arial" w:cs="Arial"/>
          <w:szCs w:val="24"/>
        </w:rPr>
        <w:t>ennsylvania, USA</w:t>
      </w:r>
      <w:r w:rsidR="00637698" w:rsidRPr="00637698">
        <w:rPr>
          <w:rFonts w:ascii="Arial" w:hAnsi="Arial" w:cs="Arial"/>
          <w:szCs w:val="24"/>
        </w:rPr>
        <w:br/>
      </w:r>
      <w:r w:rsidR="009C7F31">
        <w:rPr>
          <w:rFonts w:ascii="Arial" w:hAnsi="Arial" w:cs="Arial"/>
          <w:szCs w:val="24"/>
        </w:rPr>
        <w:t xml:space="preserve">Berke, N., </w:t>
      </w:r>
      <w:r w:rsidR="00637698" w:rsidRPr="00637698">
        <w:rPr>
          <w:rFonts w:ascii="Arial" w:hAnsi="Arial" w:cs="Arial"/>
          <w:szCs w:val="24"/>
        </w:rPr>
        <w:t>Tourney Consulting Group, Kalamazoo, M</w:t>
      </w:r>
      <w:r w:rsidR="009C7F31">
        <w:rPr>
          <w:rFonts w:ascii="Arial" w:hAnsi="Arial" w:cs="Arial"/>
          <w:szCs w:val="24"/>
        </w:rPr>
        <w:t>ichigan, USA</w:t>
      </w:r>
      <w:r w:rsidR="00637698" w:rsidRPr="00637698">
        <w:rPr>
          <w:rFonts w:ascii="Arial" w:hAnsi="Arial" w:cs="Arial"/>
          <w:szCs w:val="24"/>
        </w:rPr>
        <w:br/>
      </w:r>
      <w:r w:rsidR="009C7F31">
        <w:rPr>
          <w:rFonts w:ascii="Arial" w:hAnsi="Arial" w:cs="Arial"/>
          <w:szCs w:val="24"/>
        </w:rPr>
        <w:t xml:space="preserve">Moser, Robert, </w:t>
      </w:r>
      <w:r w:rsidR="00637698" w:rsidRPr="00637698">
        <w:rPr>
          <w:rFonts w:ascii="Arial" w:hAnsi="Arial" w:cs="Arial"/>
          <w:szCs w:val="24"/>
        </w:rPr>
        <w:t>U.S. Army Engineer Research and Development Center</w:t>
      </w:r>
      <w:r w:rsidR="009C7F31">
        <w:rPr>
          <w:rFonts w:ascii="Arial" w:hAnsi="Arial" w:cs="Arial"/>
          <w:szCs w:val="24"/>
        </w:rPr>
        <w:t xml:space="preserve"> </w:t>
      </w:r>
      <w:r w:rsidR="00637698" w:rsidRPr="00637698">
        <w:rPr>
          <w:rFonts w:ascii="Arial" w:hAnsi="Arial" w:cs="Arial"/>
          <w:szCs w:val="24"/>
        </w:rPr>
        <w:t>(ERDC), Vicksburg, M</w:t>
      </w:r>
      <w:r w:rsidR="009C7F31">
        <w:rPr>
          <w:rFonts w:ascii="Arial" w:hAnsi="Arial" w:cs="Arial"/>
          <w:szCs w:val="24"/>
        </w:rPr>
        <w:t xml:space="preserve">ississippi, USA </w:t>
      </w:r>
      <w:r w:rsidR="00637698" w:rsidRPr="00637698">
        <w:rPr>
          <w:rFonts w:ascii="Arial" w:hAnsi="Arial" w:cs="Arial"/>
          <w:szCs w:val="24"/>
        </w:rPr>
        <w:t xml:space="preserve"> </w:t>
      </w:r>
    </w:p>
    <w:p w14:paraId="4545E3D5" w14:textId="77777777" w:rsidR="00E0465F" w:rsidRDefault="00E0465F">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szCs w:val="24"/>
          <w:lang w:val="en-GB"/>
        </w:rPr>
      </w:pPr>
    </w:p>
    <w:p w14:paraId="09422692" w14:textId="4455AF03" w:rsidR="00F7640D" w:rsidRDefault="00F7640D" w:rsidP="00F7640D">
      <w:pPr>
        <w:rPr>
          <w:rFonts w:ascii="Arial" w:hAnsi="Arial" w:cs="Arial"/>
        </w:rPr>
      </w:pPr>
      <w:r w:rsidRPr="00995FD2">
        <w:rPr>
          <w:rFonts w:ascii="Arial" w:hAnsi="Arial" w:cs="Arial"/>
          <w:b/>
          <w:bCs/>
        </w:rPr>
        <w:t>Keywords:</w:t>
      </w:r>
      <w:r>
        <w:rPr>
          <w:rFonts w:ascii="Arial" w:hAnsi="Arial" w:cs="Arial"/>
        </w:rPr>
        <w:t xml:space="preserve"> </w:t>
      </w:r>
      <w:r w:rsidR="00DD28C8">
        <w:rPr>
          <w:rFonts w:ascii="Arial" w:hAnsi="Arial" w:cs="Arial"/>
        </w:rPr>
        <w:t>durability, alkali-silica reaction, corrosion, carbonation, CAC, CAC blends</w:t>
      </w:r>
    </w:p>
    <w:p w14:paraId="2336D2CF" w14:textId="77777777" w:rsidR="00F7640D" w:rsidRPr="00F7640D" w:rsidRDefault="00F7640D">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szCs w:val="24"/>
          <w:lang w:val="en-GB"/>
        </w:rPr>
      </w:pPr>
    </w:p>
    <w:p w14:paraId="5DEFBBF5" w14:textId="026EFBEB" w:rsidR="007351DA" w:rsidRPr="00F7640D" w:rsidRDefault="007351DA" w:rsidP="0029759A">
      <w:pPr>
        <w:pStyle w:val="Heading2"/>
        <w:jc w:val="both"/>
      </w:pPr>
      <w:r w:rsidRPr="00F7640D">
        <w:t>ABSTRACT</w:t>
      </w:r>
    </w:p>
    <w:p w14:paraId="7A9DD18A" w14:textId="58A3D971" w:rsidR="00CE2BC8" w:rsidRPr="00CE2BC8" w:rsidRDefault="00A51FCE" w:rsidP="00AE60A6">
      <w:pPr>
        <w:pStyle w:val="Legal1"/>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rPr>
      </w:pPr>
      <w:r w:rsidRPr="00A51FCE">
        <w:rPr>
          <w:rFonts w:ascii="Arial" w:hAnsi="Arial" w:cs="Arial"/>
        </w:rPr>
        <w:t xml:space="preserve">Calcium aluminate </w:t>
      </w:r>
      <w:proofErr w:type="gramStart"/>
      <w:r w:rsidRPr="00A51FCE">
        <w:rPr>
          <w:rFonts w:ascii="Arial" w:hAnsi="Arial" w:cs="Arial"/>
        </w:rPr>
        <w:t>cements</w:t>
      </w:r>
      <w:proofErr w:type="gramEnd"/>
      <w:r w:rsidRPr="00A51FCE">
        <w:rPr>
          <w:rFonts w:ascii="Arial" w:hAnsi="Arial" w:cs="Arial"/>
        </w:rPr>
        <w:t xml:space="preserve"> (CACs) are often treated as specialty binders, but recent work suggests their performance merits broader consideration. Here, the performance of CAC and CAC blends is evaluated in the context of other alternative cementitious materials (ACMs)</w:t>
      </w:r>
      <w:r w:rsidR="00AC669F">
        <w:rPr>
          <w:rFonts w:ascii="Arial" w:hAnsi="Arial" w:cs="Arial"/>
        </w:rPr>
        <w:t xml:space="preserve"> - </w:t>
      </w:r>
      <w:r w:rsidRPr="00A51FCE">
        <w:rPr>
          <w:rFonts w:ascii="Arial" w:hAnsi="Arial" w:cs="Arial"/>
        </w:rPr>
        <w:t xml:space="preserve">including calcium </w:t>
      </w:r>
      <w:proofErr w:type="spellStart"/>
      <w:r w:rsidRPr="00A51FCE">
        <w:rPr>
          <w:rFonts w:ascii="Arial" w:hAnsi="Arial" w:cs="Arial"/>
        </w:rPr>
        <w:t>sulfoaluminate</w:t>
      </w:r>
      <w:proofErr w:type="spellEnd"/>
      <w:r w:rsidRPr="00A51FCE">
        <w:rPr>
          <w:rFonts w:ascii="Arial" w:hAnsi="Arial" w:cs="Arial"/>
        </w:rPr>
        <w:t xml:space="preserve"> (CSA) cements, alkali</w:t>
      </w:r>
      <w:r w:rsidRPr="00A51FCE">
        <w:rPr>
          <w:rFonts w:ascii="Arial" w:hAnsi="Arial" w:cs="Arial"/>
        </w:rPr>
        <w:noBreakHyphen/>
        <w:t>activated binders, magnesium phosphate cements, and blended systems</w:t>
      </w:r>
      <w:r w:rsidR="00AC669F">
        <w:rPr>
          <w:rFonts w:ascii="Arial" w:hAnsi="Arial" w:cs="Arial"/>
        </w:rPr>
        <w:t xml:space="preserve"> - </w:t>
      </w:r>
      <w:r w:rsidRPr="00A51FCE">
        <w:rPr>
          <w:rFonts w:ascii="Arial" w:hAnsi="Arial" w:cs="Arial"/>
        </w:rPr>
        <w:t xml:space="preserve">and benchmarked against ordinary </w:t>
      </w:r>
      <w:proofErr w:type="spellStart"/>
      <w:r w:rsidRPr="00A51FCE">
        <w:rPr>
          <w:rFonts w:ascii="Arial" w:hAnsi="Arial" w:cs="Arial"/>
        </w:rPr>
        <w:t>portland</w:t>
      </w:r>
      <w:proofErr w:type="spellEnd"/>
      <w:r w:rsidRPr="00A51FCE">
        <w:rPr>
          <w:rFonts w:ascii="Arial" w:hAnsi="Arial" w:cs="Arial"/>
        </w:rPr>
        <w:t xml:space="preserve"> cement (OPC). The work emphasizes durability</w:t>
      </w:r>
      <w:r w:rsidRPr="00A51FCE">
        <w:rPr>
          <w:rFonts w:ascii="Arial" w:hAnsi="Arial" w:cs="Arial"/>
        </w:rPr>
        <w:noBreakHyphen/>
        <w:t>critical behaviors relevant to transportation and other infrastructure applications, including resistance to chemical sulfate attack, alkali–silica reaction (ASR), and transport</w:t>
      </w:r>
      <w:r w:rsidRPr="00A51FCE">
        <w:rPr>
          <w:rFonts w:ascii="Arial" w:hAnsi="Arial" w:cs="Arial"/>
        </w:rPr>
        <w:noBreakHyphen/>
        <w:t>controlled deterioration. Microstructural characterization is used to interpret observed durability trends and to clarify the roles of hydration and conversion products, pore solution composition, and pore connectivity.</w:t>
      </w:r>
      <w:r w:rsidR="00AC669F">
        <w:rPr>
          <w:rFonts w:ascii="Arial" w:hAnsi="Arial" w:cs="Arial"/>
        </w:rPr>
        <w:t xml:space="preserve"> </w:t>
      </w:r>
      <w:r w:rsidRPr="00A51FCE">
        <w:rPr>
          <w:rFonts w:ascii="Arial" w:hAnsi="Arial" w:cs="Arial"/>
        </w:rPr>
        <w:t>While CACs are well known for rapid strength development and sulfate resistance, results drawn from a broader experimental dataset demonstrate that well</w:t>
      </w:r>
      <w:r w:rsidRPr="00A51FCE">
        <w:rPr>
          <w:rFonts w:ascii="Arial" w:hAnsi="Arial" w:cs="Arial"/>
        </w:rPr>
        <w:noBreakHyphen/>
        <w:t>designed CAC systems can also exhibit favorable resistance to ASR expansion and chloride ion penetration relative to OPC. At the same time, the findings reinforce that no single binder system is universally optimal. Instead, this study identifies application contexts in which CACs and other ACMs may offer meaningful durability advantages in conventional concrete construction.</w:t>
      </w:r>
    </w:p>
    <w:p w14:paraId="42FA6F9C" w14:textId="3EE62119" w:rsidR="007F639E" w:rsidRDefault="00C379C2" w:rsidP="00F7640D">
      <w:pPr>
        <w:pStyle w:val="Heading2"/>
      </w:pPr>
      <w:r w:rsidRPr="00F7640D">
        <w:lastRenderedPageBreak/>
        <w:t>INTRODUCTION</w:t>
      </w:r>
      <w:r w:rsidR="00F7640D">
        <w:t xml:space="preserve"> </w:t>
      </w:r>
    </w:p>
    <w:p w14:paraId="5A4649D6" w14:textId="77777777" w:rsidR="00E24A30" w:rsidRPr="00E24A30" w:rsidRDefault="00E24A30" w:rsidP="00E24A30">
      <w:pPr>
        <w:pStyle w:val="Heading2"/>
        <w:jc w:val="both"/>
        <w:rPr>
          <w:b w:val="0"/>
          <w:bCs/>
        </w:rPr>
      </w:pPr>
      <w:r w:rsidRPr="00E24A30">
        <w:rPr>
          <w:b w:val="0"/>
          <w:bCs/>
        </w:rPr>
        <w:t>Growing interest in alternative cementitious materials is driven by both sustainability objectives and the need for improved durability in aggressive service environments. Calcium aluminate cements occupy a unique position within this landscape: they are commercially mature, well understood in specialty applications, yet rarely considered for conventional reinforced concrete construction.</w:t>
      </w:r>
    </w:p>
    <w:p w14:paraId="23994AD7" w14:textId="3FD98653" w:rsidR="007F639E" w:rsidRPr="004D066D" w:rsidRDefault="00E24A30" w:rsidP="00E24A30">
      <w:pPr>
        <w:pStyle w:val="Heading2"/>
        <w:jc w:val="both"/>
        <w:rPr>
          <w:bCs/>
        </w:rPr>
      </w:pPr>
      <w:r w:rsidRPr="00E24A30">
        <w:rPr>
          <w:b w:val="0"/>
          <w:bCs/>
        </w:rPr>
        <w:tab/>
      </w:r>
      <w:r w:rsidR="00AE60A6">
        <w:rPr>
          <w:b w:val="0"/>
          <w:bCs/>
        </w:rPr>
        <w:t>A</w:t>
      </w:r>
      <w:r w:rsidRPr="00E24A30">
        <w:rPr>
          <w:b w:val="0"/>
          <w:bCs/>
        </w:rPr>
        <w:t xml:space="preserve"> recently published US Federal Highway Administration report</w:t>
      </w:r>
      <w:r w:rsidRPr="00AC669F">
        <w:rPr>
          <w:b w:val="0"/>
          <w:bCs/>
          <w:vertAlign w:val="superscript"/>
        </w:rPr>
        <w:t>1</w:t>
      </w:r>
      <w:r w:rsidR="00AE60A6">
        <w:rPr>
          <w:b w:val="0"/>
          <w:bCs/>
        </w:rPr>
        <w:t xml:space="preserve"> evaluated and compared the</w:t>
      </w:r>
      <w:r w:rsidRPr="00E24A30">
        <w:rPr>
          <w:b w:val="0"/>
          <w:bCs/>
        </w:rPr>
        <w:t xml:space="preserve"> performance of CACs and other ACMs to PC, examining mechanical behavior, dimensional stability and durability. </w:t>
      </w:r>
      <w:r w:rsidR="004D066D" w:rsidRPr="004D066D">
        <w:rPr>
          <w:b w:val="0"/>
        </w:rPr>
        <w:t>This extended abstract presents previously unpublished long</w:t>
      </w:r>
      <w:r w:rsidR="004D066D" w:rsidRPr="004D066D">
        <w:rPr>
          <w:b w:val="0"/>
        </w:rPr>
        <w:noBreakHyphen/>
        <w:t>term durability data, together with transport</w:t>
      </w:r>
      <w:r w:rsidR="004D066D" w:rsidRPr="004D066D">
        <w:rPr>
          <w:b w:val="0"/>
        </w:rPr>
        <w:noBreakHyphen/>
        <w:t>based and microstructural interpretations that enable more confident differentiation of CAC, CAC</w:t>
      </w:r>
      <w:r w:rsidR="00413D8B">
        <w:rPr>
          <w:b w:val="0"/>
        </w:rPr>
        <w:t xml:space="preserve"> </w:t>
      </w:r>
      <w:r w:rsidR="004D066D" w:rsidRPr="004D066D">
        <w:rPr>
          <w:b w:val="0"/>
        </w:rPr>
        <w:t>blend, and other ACM performance relative to OPC</w:t>
      </w:r>
      <w:r w:rsidR="004D066D" w:rsidRPr="004D066D">
        <w:rPr>
          <w:bCs/>
        </w:rPr>
        <w:t>.</w:t>
      </w:r>
      <w:r w:rsidRPr="00E24A30">
        <w:rPr>
          <w:b w:val="0"/>
          <w:bCs/>
        </w:rPr>
        <w:t xml:space="preserve"> </w:t>
      </w:r>
      <w:r w:rsidR="004D066D">
        <w:rPr>
          <w:b w:val="0"/>
          <w:bCs/>
        </w:rPr>
        <w:t>The focus here is</w:t>
      </w:r>
      <w:r w:rsidRPr="00E238E6">
        <w:rPr>
          <w:b w:val="0"/>
          <w:bCs/>
        </w:rPr>
        <w:t xml:space="preserve"> durability</w:t>
      </w:r>
      <w:r w:rsidR="008D21F8" w:rsidRPr="00E238E6">
        <w:rPr>
          <w:b w:val="0"/>
          <w:bCs/>
        </w:rPr>
        <w:t>-</w:t>
      </w:r>
      <w:r w:rsidRPr="00E238E6">
        <w:rPr>
          <w:b w:val="0"/>
          <w:bCs/>
        </w:rPr>
        <w:t xml:space="preserve">relevant findings most pertinent to infrastructure applications, </w:t>
      </w:r>
      <w:r w:rsidR="008B09DF">
        <w:rPr>
          <w:b w:val="0"/>
          <w:bCs/>
        </w:rPr>
        <w:t>including</w:t>
      </w:r>
      <w:r w:rsidRPr="00E238E6">
        <w:rPr>
          <w:b w:val="0"/>
          <w:bCs/>
        </w:rPr>
        <w:t xml:space="preserve"> sulfate resistance, ASR mitigation, and transport-controlled deterioration mechanisms.</w:t>
      </w:r>
    </w:p>
    <w:p w14:paraId="72068986" w14:textId="77777777" w:rsidR="00E24A30" w:rsidRDefault="00E24A30" w:rsidP="00F7640D">
      <w:pPr>
        <w:pStyle w:val="Heading2"/>
      </w:pPr>
    </w:p>
    <w:p w14:paraId="6B604073" w14:textId="4D708E0E" w:rsidR="00943D68" w:rsidRPr="00F7640D" w:rsidRDefault="00F7640D" w:rsidP="00F7640D">
      <w:pPr>
        <w:pStyle w:val="Heading2"/>
      </w:pPr>
      <w:r>
        <w:t>METHODS</w:t>
      </w:r>
    </w:p>
    <w:p w14:paraId="6E8574A1" w14:textId="2A80CA7D" w:rsidR="000E5095" w:rsidRPr="000E5095" w:rsidRDefault="000E5095" w:rsidP="000E5095">
      <w:pPr>
        <w:tabs>
          <w:tab w:val="left" w:pos="0"/>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szCs w:val="24"/>
        </w:rPr>
      </w:pPr>
      <w:r w:rsidRPr="000E5095">
        <w:rPr>
          <w:rFonts w:ascii="Arial" w:hAnsi="Arial" w:cs="Arial"/>
          <w:szCs w:val="24"/>
        </w:rPr>
        <w:t xml:space="preserve">Tested systems included </w:t>
      </w:r>
      <w:r w:rsidR="00303009">
        <w:rPr>
          <w:rFonts w:ascii="Arial" w:hAnsi="Arial" w:cs="Arial"/>
          <w:szCs w:val="24"/>
        </w:rPr>
        <w:t xml:space="preserve">an ASTM C150 Type I/II </w:t>
      </w:r>
      <w:r w:rsidRPr="000E5095">
        <w:rPr>
          <w:rFonts w:ascii="Arial" w:hAnsi="Arial" w:cs="Arial"/>
          <w:szCs w:val="24"/>
        </w:rPr>
        <w:t xml:space="preserve">OPC, </w:t>
      </w:r>
      <w:r>
        <w:rPr>
          <w:rFonts w:ascii="Arial" w:hAnsi="Arial" w:cs="Arial"/>
          <w:szCs w:val="24"/>
        </w:rPr>
        <w:t xml:space="preserve">and multiple compositions of </w:t>
      </w:r>
      <w:r w:rsidRPr="000E5095">
        <w:rPr>
          <w:rFonts w:ascii="Arial" w:hAnsi="Arial" w:cs="Arial"/>
          <w:szCs w:val="24"/>
        </w:rPr>
        <w:t>CAC</w:t>
      </w:r>
      <w:r>
        <w:rPr>
          <w:rFonts w:ascii="Arial" w:hAnsi="Arial" w:cs="Arial"/>
          <w:szCs w:val="24"/>
        </w:rPr>
        <w:t>, CSA</w:t>
      </w:r>
      <w:r w:rsidRPr="000E5095">
        <w:rPr>
          <w:rFonts w:ascii="Arial" w:hAnsi="Arial" w:cs="Arial"/>
          <w:szCs w:val="24"/>
        </w:rPr>
        <w:t xml:space="preserve">, </w:t>
      </w:r>
      <w:r w:rsidR="0069049F">
        <w:rPr>
          <w:rFonts w:ascii="Arial" w:hAnsi="Arial" w:cs="Arial"/>
          <w:szCs w:val="24"/>
        </w:rPr>
        <w:t xml:space="preserve">and </w:t>
      </w:r>
      <w:r w:rsidRPr="000E5095">
        <w:rPr>
          <w:rFonts w:ascii="Arial" w:hAnsi="Arial" w:cs="Arial"/>
          <w:szCs w:val="24"/>
        </w:rPr>
        <w:t>magnesium phosphate cement</w:t>
      </w:r>
      <w:r w:rsidR="00955A1C">
        <w:rPr>
          <w:rFonts w:ascii="Arial" w:hAnsi="Arial" w:cs="Arial"/>
          <w:szCs w:val="24"/>
        </w:rPr>
        <w:t>s</w:t>
      </w:r>
      <w:r w:rsidR="0069049F">
        <w:rPr>
          <w:rFonts w:ascii="Arial" w:hAnsi="Arial" w:cs="Arial"/>
          <w:szCs w:val="24"/>
        </w:rPr>
        <w:t xml:space="preserve">, and </w:t>
      </w:r>
      <w:r w:rsidR="0069049F" w:rsidRPr="000E5095">
        <w:rPr>
          <w:rFonts w:ascii="Arial" w:hAnsi="Arial" w:cs="Arial"/>
          <w:szCs w:val="24"/>
        </w:rPr>
        <w:t>alkali</w:t>
      </w:r>
      <w:r w:rsidR="0069049F" w:rsidRPr="000E5095">
        <w:rPr>
          <w:rFonts w:ascii="Arial" w:hAnsi="Arial" w:cs="Arial"/>
          <w:szCs w:val="24"/>
        </w:rPr>
        <w:noBreakHyphen/>
        <w:t>activated binder</w:t>
      </w:r>
      <w:r w:rsidR="0069049F">
        <w:rPr>
          <w:rFonts w:ascii="Arial" w:hAnsi="Arial" w:cs="Arial"/>
          <w:szCs w:val="24"/>
        </w:rPr>
        <w:t>s</w:t>
      </w:r>
      <w:r w:rsidR="00955A1C">
        <w:rPr>
          <w:rFonts w:ascii="Arial" w:hAnsi="Arial" w:cs="Arial"/>
          <w:szCs w:val="24"/>
        </w:rPr>
        <w:t>. C</w:t>
      </w:r>
      <w:r w:rsidR="00D33966">
        <w:rPr>
          <w:rFonts w:ascii="Arial" w:hAnsi="Arial" w:cs="Arial"/>
          <w:szCs w:val="24"/>
        </w:rPr>
        <w:t xml:space="preserve">ement compositions and </w:t>
      </w:r>
      <w:r w:rsidR="00955A1C">
        <w:rPr>
          <w:rFonts w:ascii="Arial" w:hAnsi="Arial" w:cs="Arial"/>
          <w:szCs w:val="24"/>
        </w:rPr>
        <w:t xml:space="preserve">concrete </w:t>
      </w:r>
      <w:r w:rsidR="00D33966">
        <w:rPr>
          <w:rFonts w:ascii="Arial" w:hAnsi="Arial" w:cs="Arial"/>
          <w:szCs w:val="24"/>
        </w:rPr>
        <w:t>mixture designs</w:t>
      </w:r>
      <w:r w:rsidR="00DB4AE0">
        <w:rPr>
          <w:rFonts w:ascii="Arial" w:hAnsi="Arial" w:cs="Arial"/>
          <w:szCs w:val="24"/>
        </w:rPr>
        <w:t xml:space="preserve"> have</w:t>
      </w:r>
      <w:r w:rsidR="00D33966">
        <w:rPr>
          <w:rFonts w:ascii="Arial" w:hAnsi="Arial" w:cs="Arial"/>
          <w:szCs w:val="24"/>
        </w:rPr>
        <w:t xml:space="preserve"> been </w:t>
      </w:r>
      <w:r w:rsidR="00DB4AE0">
        <w:rPr>
          <w:rFonts w:ascii="Arial" w:hAnsi="Arial" w:cs="Arial"/>
          <w:szCs w:val="24"/>
        </w:rPr>
        <w:t>previously reported</w:t>
      </w:r>
      <w:r w:rsidR="00D33966">
        <w:rPr>
          <w:rFonts w:ascii="Arial" w:hAnsi="Arial" w:cs="Arial"/>
          <w:szCs w:val="24"/>
          <w:vertAlign w:val="superscript"/>
        </w:rPr>
        <w:t>1-2</w:t>
      </w:r>
      <w:r w:rsidRPr="000E5095">
        <w:rPr>
          <w:rFonts w:ascii="Arial" w:hAnsi="Arial" w:cs="Arial"/>
          <w:szCs w:val="24"/>
        </w:rPr>
        <w:t>.</w:t>
      </w:r>
      <w:r w:rsidR="00D33966">
        <w:rPr>
          <w:rFonts w:ascii="Arial" w:hAnsi="Arial" w:cs="Arial"/>
          <w:szCs w:val="24"/>
        </w:rPr>
        <w:t xml:space="preserve"> </w:t>
      </w:r>
      <w:r w:rsidRPr="000E5095">
        <w:rPr>
          <w:rFonts w:ascii="Arial" w:hAnsi="Arial" w:cs="Arial"/>
          <w:szCs w:val="24"/>
        </w:rPr>
        <w:t>Durability</w:t>
      </w:r>
      <w:r w:rsidRPr="000E5095">
        <w:rPr>
          <w:rFonts w:ascii="Arial" w:hAnsi="Arial" w:cs="Arial"/>
          <w:szCs w:val="24"/>
        </w:rPr>
        <w:noBreakHyphen/>
        <w:t>focused testing included:</w:t>
      </w:r>
    </w:p>
    <w:p w14:paraId="10D82A18" w14:textId="3D7F9C6E" w:rsidR="000E5095" w:rsidRPr="00631488" w:rsidRDefault="000E5095" w:rsidP="00D33966">
      <w:pPr>
        <w:numPr>
          <w:ilvl w:val="0"/>
          <w:numId w:val="9"/>
        </w:numPr>
        <w:tabs>
          <w:tab w:val="clear" w:pos="720"/>
          <w:tab w:val="left" w:pos="0"/>
          <w:tab w:val="num" w:pos="180"/>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ind w:left="180" w:hanging="180"/>
        <w:jc w:val="both"/>
        <w:rPr>
          <w:rFonts w:ascii="Arial" w:hAnsi="Arial" w:cs="Arial"/>
          <w:szCs w:val="24"/>
        </w:rPr>
      </w:pPr>
      <w:r w:rsidRPr="00631488">
        <w:rPr>
          <w:rFonts w:ascii="Arial" w:hAnsi="Arial" w:cs="Arial"/>
          <w:szCs w:val="24"/>
          <w:u w:val="single"/>
        </w:rPr>
        <w:t>Chemical sulfate resistance</w:t>
      </w:r>
      <w:r w:rsidRPr="00631488">
        <w:rPr>
          <w:rFonts w:ascii="Arial" w:hAnsi="Arial" w:cs="Arial"/>
          <w:szCs w:val="24"/>
        </w:rPr>
        <w:t xml:space="preserve">, using </w:t>
      </w:r>
      <w:r w:rsidR="00D33966" w:rsidRPr="00631488">
        <w:rPr>
          <w:rFonts w:ascii="Arial" w:hAnsi="Arial" w:cs="Arial"/>
          <w:szCs w:val="24"/>
        </w:rPr>
        <w:t xml:space="preserve">standard testing (ASTM C1012), </w:t>
      </w:r>
      <w:r w:rsidR="00DB4AE0" w:rsidRPr="00631488">
        <w:rPr>
          <w:rFonts w:ascii="Arial" w:hAnsi="Arial" w:cs="Arial"/>
          <w:szCs w:val="24"/>
        </w:rPr>
        <w:t xml:space="preserve">and </w:t>
      </w:r>
      <w:r w:rsidRPr="00631488">
        <w:rPr>
          <w:rFonts w:ascii="Arial" w:hAnsi="Arial" w:cs="Arial"/>
          <w:szCs w:val="24"/>
        </w:rPr>
        <w:t>constant</w:t>
      </w:r>
      <w:r w:rsidRPr="00631488">
        <w:rPr>
          <w:rFonts w:ascii="Arial" w:hAnsi="Arial" w:cs="Arial"/>
          <w:szCs w:val="24"/>
        </w:rPr>
        <w:noBreakHyphen/>
        <w:t xml:space="preserve">pH sulfate exposure coupled with strength retention and microstructural </w:t>
      </w:r>
      <w:proofErr w:type="gramStart"/>
      <w:r w:rsidRPr="00631488">
        <w:rPr>
          <w:rFonts w:ascii="Arial" w:hAnsi="Arial" w:cs="Arial"/>
          <w:szCs w:val="24"/>
        </w:rPr>
        <w:t>analysis;</w:t>
      </w:r>
      <w:proofErr w:type="gramEnd"/>
    </w:p>
    <w:p w14:paraId="03C351AA" w14:textId="483BD37F" w:rsidR="000E5095" w:rsidRPr="00631488" w:rsidRDefault="000E5095" w:rsidP="00D33966">
      <w:pPr>
        <w:numPr>
          <w:ilvl w:val="0"/>
          <w:numId w:val="9"/>
        </w:numPr>
        <w:tabs>
          <w:tab w:val="clear" w:pos="720"/>
          <w:tab w:val="left" w:pos="0"/>
          <w:tab w:val="num" w:pos="180"/>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ind w:left="180" w:hanging="180"/>
        <w:jc w:val="both"/>
        <w:rPr>
          <w:rFonts w:ascii="Arial" w:hAnsi="Arial" w:cs="Arial"/>
          <w:szCs w:val="24"/>
        </w:rPr>
      </w:pPr>
      <w:r w:rsidRPr="00631488">
        <w:rPr>
          <w:rFonts w:ascii="Arial" w:hAnsi="Arial" w:cs="Arial"/>
          <w:szCs w:val="24"/>
          <w:u w:val="single"/>
        </w:rPr>
        <w:t>ASR assessmen</w:t>
      </w:r>
      <w:r w:rsidRPr="00631488">
        <w:rPr>
          <w:rFonts w:ascii="Arial" w:hAnsi="Arial" w:cs="Arial"/>
          <w:szCs w:val="24"/>
        </w:rPr>
        <w:t xml:space="preserve">t, incorporating both accelerated tests </w:t>
      </w:r>
      <w:r w:rsidR="00D33966" w:rsidRPr="00631488">
        <w:rPr>
          <w:rFonts w:ascii="Arial" w:hAnsi="Arial" w:cs="Arial"/>
          <w:szCs w:val="24"/>
        </w:rPr>
        <w:t xml:space="preserve">(ASTM C1260) </w:t>
      </w:r>
      <w:r w:rsidRPr="00631488">
        <w:rPr>
          <w:rFonts w:ascii="Arial" w:hAnsi="Arial" w:cs="Arial"/>
          <w:szCs w:val="24"/>
        </w:rPr>
        <w:t>and long</w:t>
      </w:r>
      <w:r w:rsidRPr="00631488">
        <w:rPr>
          <w:rFonts w:ascii="Arial" w:hAnsi="Arial" w:cs="Arial"/>
          <w:szCs w:val="24"/>
        </w:rPr>
        <w:noBreakHyphen/>
        <w:t xml:space="preserve">term concrete prism tests </w:t>
      </w:r>
      <w:r w:rsidR="00E238E6" w:rsidRPr="00631488">
        <w:rPr>
          <w:rFonts w:ascii="Arial" w:hAnsi="Arial" w:cs="Arial"/>
          <w:szCs w:val="24"/>
        </w:rPr>
        <w:t>(</w:t>
      </w:r>
      <w:r w:rsidR="00D33966" w:rsidRPr="00631488">
        <w:rPr>
          <w:rFonts w:ascii="Arial" w:hAnsi="Arial" w:cs="Arial"/>
          <w:szCs w:val="24"/>
        </w:rPr>
        <w:t xml:space="preserve">ASTM C1293) </w:t>
      </w:r>
      <w:r w:rsidRPr="00631488">
        <w:rPr>
          <w:rFonts w:ascii="Arial" w:hAnsi="Arial" w:cs="Arial"/>
          <w:szCs w:val="24"/>
        </w:rPr>
        <w:t xml:space="preserve">extending to two </w:t>
      </w:r>
      <w:proofErr w:type="gramStart"/>
      <w:r w:rsidRPr="00631488">
        <w:rPr>
          <w:rFonts w:ascii="Arial" w:hAnsi="Arial" w:cs="Arial"/>
          <w:szCs w:val="24"/>
        </w:rPr>
        <w:t>years;</w:t>
      </w:r>
      <w:proofErr w:type="gramEnd"/>
    </w:p>
    <w:p w14:paraId="2796BCFC" w14:textId="3F56439C" w:rsidR="00AC1B33" w:rsidRPr="00631488" w:rsidRDefault="00AC1B33" w:rsidP="00AC1B33">
      <w:pPr>
        <w:numPr>
          <w:ilvl w:val="0"/>
          <w:numId w:val="9"/>
        </w:numPr>
        <w:tabs>
          <w:tab w:val="clear" w:pos="720"/>
          <w:tab w:val="left" w:pos="0"/>
          <w:tab w:val="num" w:pos="180"/>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ind w:left="180" w:hanging="180"/>
        <w:jc w:val="both"/>
        <w:rPr>
          <w:rFonts w:ascii="Arial" w:hAnsi="Arial" w:cs="Arial"/>
          <w:szCs w:val="24"/>
        </w:rPr>
      </w:pPr>
      <w:r w:rsidRPr="00631488">
        <w:rPr>
          <w:rFonts w:ascii="Arial" w:hAnsi="Arial" w:cs="Arial"/>
          <w:szCs w:val="24"/>
          <w:u w:val="single"/>
        </w:rPr>
        <w:t>Transport characterization</w:t>
      </w:r>
      <w:r w:rsidRPr="00631488">
        <w:rPr>
          <w:rFonts w:ascii="Arial" w:hAnsi="Arial" w:cs="Arial"/>
          <w:szCs w:val="24"/>
        </w:rPr>
        <w:t>, including formation factor</w:t>
      </w:r>
      <w:r w:rsidR="005D6495">
        <w:rPr>
          <w:rFonts w:ascii="Arial" w:hAnsi="Arial" w:cs="Arial"/>
          <w:szCs w:val="24"/>
        </w:rPr>
        <w:t xml:space="preserve"> (</w:t>
      </w:r>
      <w:r w:rsidR="005D6495" w:rsidRPr="005D6495">
        <w:rPr>
          <w:rFonts w:ascii="Arial" w:hAnsi="Arial" w:cs="Arial"/>
          <w:i/>
          <w:iCs/>
          <w:szCs w:val="24"/>
        </w:rPr>
        <w:t>F</w:t>
      </w:r>
      <w:r w:rsidR="005D6495">
        <w:rPr>
          <w:rFonts w:ascii="Arial" w:hAnsi="Arial" w:cs="Arial"/>
          <w:szCs w:val="24"/>
        </w:rPr>
        <w:t>)</w:t>
      </w:r>
      <w:r w:rsidRPr="00631488">
        <w:rPr>
          <w:rFonts w:ascii="Arial" w:hAnsi="Arial" w:cs="Arial"/>
          <w:szCs w:val="24"/>
        </w:rPr>
        <w:t xml:space="preserve">, </w:t>
      </w:r>
      <w:proofErr w:type="spellStart"/>
      <w:r w:rsidRPr="00631488">
        <w:rPr>
          <w:rFonts w:ascii="Arial" w:hAnsi="Arial" w:cs="Arial"/>
          <w:szCs w:val="24"/>
        </w:rPr>
        <w:t>sorptivity</w:t>
      </w:r>
      <w:proofErr w:type="spellEnd"/>
      <w:r w:rsidRPr="00631488">
        <w:rPr>
          <w:rFonts w:ascii="Arial" w:hAnsi="Arial" w:cs="Arial"/>
          <w:szCs w:val="24"/>
        </w:rPr>
        <w:t>, and resistivity</w:t>
      </w:r>
      <w:r w:rsidRPr="00631488">
        <w:rPr>
          <w:rFonts w:ascii="Arial" w:hAnsi="Arial" w:cs="Arial"/>
          <w:szCs w:val="24"/>
        </w:rPr>
        <w:noBreakHyphen/>
        <w:t>based indicators of pore connectivity</w:t>
      </w:r>
      <w:r w:rsidR="00DB4AE0" w:rsidRPr="00631488">
        <w:rPr>
          <w:rFonts w:ascii="Arial" w:hAnsi="Arial" w:cs="Arial"/>
          <w:szCs w:val="24"/>
        </w:rPr>
        <w:t>, as well as direct measure</w:t>
      </w:r>
      <w:r w:rsidR="005D6495">
        <w:rPr>
          <w:rFonts w:ascii="Arial" w:hAnsi="Arial" w:cs="Arial"/>
          <w:szCs w:val="24"/>
        </w:rPr>
        <w:t>s</w:t>
      </w:r>
      <w:r w:rsidR="00DB4AE0" w:rsidRPr="00631488">
        <w:rPr>
          <w:rFonts w:ascii="Arial" w:hAnsi="Arial" w:cs="Arial"/>
          <w:szCs w:val="24"/>
        </w:rPr>
        <w:t xml:space="preserve"> of chloride </w:t>
      </w:r>
      <w:proofErr w:type="gramStart"/>
      <w:r w:rsidR="00DB4AE0" w:rsidRPr="00631488">
        <w:rPr>
          <w:rFonts w:ascii="Arial" w:hAnsi="Arial" w:cs="Arial"/>
          <w:szCs w:val="24"/>
        </w:rPr>
        <w:t>migration</w:t>
      </w:r>
      <w:r w:rsidRPr="00631488">
        <w:rPr>
          <w:rFonts w:ascii="Arial" w:hAnsi="Arial" w:cs="Arial"/>
          <w:szCs w:val="24"/>
        </w:rPr>
        <w:t>;</w:t>
      </w:r>
      <w:proofErr w:type="gramEnd"/>
    </w:p>
    <w:p w14:paraId="7720A312" w14:textId="32A7E7A9" w:rsidR="000E5095" w:rsidRPr="00631488" w:rsidRDefault="000E5095" w:rsidP="00D33966">
      <w:pPr>
        <w:numPr>
          <w:ilvl w:val="0"/>
          <w:numId w:val="9"/>
        </w:numPr>
        <w:tabs>
          <w:tab w:val="clear" w:pos="720"/>
          <w:tab w:val="left" w:pos="0"/>
          <w:tab w:val="num" w:pos="180"/>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ind w:left="180" w:hanging="180"/>
        <w:jc w:val="both"/>
        <w:rPr>
          <w:rFonts w:ascii="Arial" w:hAnsi="Arial" w:cs="Arial"/>
          <w:szCs w:val="24"/>
        </w:rPr>
      </w:pPr>
      <w:r w:rsidRPr="00631488">
        <w:rPr>
          <w:rFonts w:ascii="Arial" w:hAnsi="Arial" w:cs="Arial"/>
          <w:szCs w:val="24"/>
          <w:u w:val="single"/>
        </w:rPr>
        <w:t>Microstructural</w:t>
      </w:r>
      <w:r w:rsidR="00D33966" w:rsidRPr="00631488">
        <w:rPr>
          <w:rFonts w:ascii="Arial" w:hAnsi="Arial" w:cs="Arial"/>
          <w:szCs w:val="24"/>
          <w:u w:val="single"/>
        </w:rPr>
        <w:t xml:space="preserve"> </w:t>
      </w:r>
      <w:r w:rsidRPr="00631488">
        <w:rPr>
          <w:rFonts w:ascii="Arial" w:hAnsi="Arial" w:cs="Arial"/>
          <w:szCs w:val="24"/>
          <w:u w:val="single"/>
        </w:rPr>
        <w:t>analysis</w:t>
      </w:r>
      <w:r w:rsidR="00631488">
        <w:rPr>
          <w:rFonts w:ascii="Arial" w:hAnsi="Arial" w:cs="Arial"/>
          <w:szCs w:val="24"/>
        </w:rPr>
        <w:t>, including OM, SEM</w:t>
      </w:r>
      <w:r w:rsidR="00E4098E">
        <w:rPr>
          <w:rFonts w:ascii="Arial" w:hAnsi="Arial" w:cs="Arial"/>
          <w:szCs w:val="24"/>
        </w:rPr>
        <w:t>,</w:t>
      </w:r>
      <w:r w:rsidR="00631488">
        <w:rPr>
          <w:rFonts w:ascii="Arial" w:hAnsi="Arial" w:cs="Arial"/>
          <w:szCs w:val="24"/>
        </w:rPr>
        <w:t xml:space="preserve"> and TGA</w:t>
      </w:r>
      <w:r w:rsidRPr="00631488">
        <w:rPr>
          <w:rFonts w:ascii="Arial" w:hAnsi="Arial" w:cs="Arial"/>
          <w:szCs w:val="24"/>
        </w:rPr>
        <w:t xml:space="preserve"> used to interpret hydration products, bound water evolution, and phase stability.</w:t>
      </w:r>
    </w:p>
    <w:p w14:paraId="3A1CF235" w14:textId="77777777" w:rsidR="000E5095" w:rsidRPr="000E5095" w:rsidRDefault="000E5095" w:rsidP="000E5095">
      <w:pPr>
        <w:tabs>
          <w:tab w:val="left" w:pos="0"/>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szCs w:val="24"/>
        </w:rPr>
      </w:pPr>
      <w:r w:rsidRPr="000E5095">
        <w:rPr>
          <w:rFonts w:ascii="Arial" w:hAnsi="Arial" w:cs="Arial"/>
          <w:szCs w:val="24"/>
        </w:rPr>
        <w:t>Mixture designs emphasized compatibility with conventional batching and placement practices, allowing durability trends to be interpreted in a construction</w:t>
      </w:r>
      <w:r w:rsidRPr="000E5095">
        <w:rPr>
          <w:rFonts w:ascii="Arial" w:hAnsi="Arial" w:cs="Arial"/>
          <w:szCs w:val="24"/>
        </w:rPr>
        <w:noBreakHyphen/>
        <w:t>relevant context.</w:t>
      </w:r>
    </w:p>
    <w:p w14:paraId="23A2BC41" w14:textId="4B8F59B3" w:rsidR="00055962" w:rsidRPr="00F7640D" w:rsidRDefault="00055962" w:rsidP="00055962">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color w:val="000000" w:themeColor="text1"/>
          <w:szCs w:val="24"/>
          <w:lang w:val="en-GB"/>
        </w:rPr>
      </w:pPr>
    </w:p>
    <w:p w14:paraId="23FF2A43" w14:textId="3FEE91DD" w:rsidR="008D21F8" w:rsidRDefault="00BF3F8D" w:rsidP="007F639E">
      <w:pPr>
        <w:pStyle w:val="Heading1"/>
      </w:pPr>
      <w:r w:rsidRPr="00F7640D">
        <w:t>Key findings</w:t>
      </w:r>
      <w:r w:rsidR="00107414">
        <w:t xml:space="preserve"> and DISCUSSION</w:t>
      </w:r>
    </w:p>
    <w:p w14:paraId="77D6D0EF" w14:textId="275450E2" w:rsidR="00107414" w:rsidRDefault="004D00B1" w:rsidP="001A5DD0">
      <w:pPr>
        <w:jc w:val="both"/>
        <w:rPr>
          <w:rFonts w:ascii="Arial" w:hAnsi="Arial" w:cs="Arial"/>
        </w:rPr>
      </w:pPr>
      <w:r>
        <w:rPr>
          <w:rFonts w:ascii="Arial" w:hAnsi="Arial" w:cs="Arial"/>
        </w:rPr>
        <w:t>For brevity,</w:t>
      </w:r>
      <w:r w:rsidR="009C70A5">
        <w:rPr>
          <w:rFonts w:ascii="Arial" w:hAnsi="Arial" w:cs="Arial"/>
        </w:rPr>
        <w:t xml:space="preserve"> only</w:t>
      </w:r>
      <w:r>
        <w:rPr>
          <w:rFonts w:ascii="Arial" w:hAnsi="Arial" w:cs="Arial"/>
        </w:rPr>
        <w:t xml:space="preserve"> results showing resistance to </w:t>
      </w:r>
      <w:r w:rsidR="00E238E6">
        <w:rPr>
          <w:rFonts w:ascii="Arial" w:hAnsi="Arial" w:cs="Arial"/>
        </w:rPr>
        <w:t xml:space="preserve">constant-pH </w:t>
      </w:r>
      <w:r>
        <w:rPr>
          <w:rFonts w:ascii="Arial" w:hAnsi="Arial" w:cs="Arial"/>
        </w:rPr>
        <w:t>sulfate attack, ASR</w:t>
      </w:r>
      <w:r w:rsidR="00E238E6">
        <w:rPr>
          <w:rFonts w:ascii="Arial" w:hAnsi="Arial" w:cs="Arial"/>
        </w:rPr>
        <w:t xml:space="preserve"> (via two-year concrete prism testing)</w:t>
      </w:r>
      <w:r>
        <w:rPr>
          <w:rFonts w:ascii="Arial" w:hAnsi="Arial" w:cs="Arial"/>
        </w:rPr>
        <w:t xml:space="preserve">, and </w:t>
      </w:r>
      <w:r w:rsidR="00E238E6">
        <w:rPr>
          <w:rFonts w:ascii="Arial" w:hAnsi="Arial" w:cs="Arial"/>
        </w:rPr>
        <w:t>transport</w:t>
      </w:r>
      <w:r>
        <w:rPr>
          <w:rFonts w:ascii="Arial" w:hAnsi="Arial" w:cs="Arial"/>
        </w:rPr>
        <w:t xml:space="preserve"> are included.</w:t>
      </w:r>
    </w:p>
    <w:p w14:paraId="50B4B572" w14:textId="77777777" w:rsidR="004D00B1" w:rsidRPr="004D00B1" w:rsidRDefault="004D00B1" w:rsidP="001A5DD0">
      <w:pPr>
        <w:jc w:val="both"/>
        <w:rPr>
          <w:rFonts w:ascii="Arial" w:hAnsi="Arial" w:cs="Arial"/>
        </w:rPr>
      </w:pPr>
    </w:p>
    <w:p w14:paraId="3AECF87A" w14:textId="3CEEE61F" w:rsidR="00107414" w:rsidRPr="00107414" w:rsidRDefault="00387368" w:rsidP="001A5DD0">
      <w:pPr>
        <w:jc w:val="both"/>
        <w:rPr>
          <w:rFonts w:ascii="Arial" w:hAnsi="Arial" w:cs="Arial"/>
          <w:b/>
          <w:bCs/>
        </w:rPr>
      </w:pPr>
      <w:r>
        <w:rPr>
          <w:rFonts w:ascii="Arial" w:hAnsi="Arial" w:cs="Arial"/>
          <w:b/>
          <w:bCs/>
        </w:rPr>
        <w:t>Sulfate Resistance</w:t>
      </w:r>
    </w:p>
    <w:p w14:paraId="1D57C9A2" w14:textId="5E020E53" w:rsidR="003509DE" w:rsidRDefault="00911A12" w:rsidP="003509DE">
      <w:pPr>
        <w:jc w:val="both"/>
        <w:rPr>
          <w:rFonts w:ascii="Arial" w:hAnsi="Arial" w:cs="Arial"/>
        </w:rPr>
      </w:pPr>
      <w:r>
        <w:rPr>
          <w:rFonts w:ascii="Arial" w:hAnsi="Arial" w:cs="Arial"/>
        </w:rPr>
        <w:t>Changes in compressive strength during a</w:t>
      </w:r>
      <w:r w:rsidR="003509DE" w:rsidRPr="003509DE">
        <w:rPr>
          <w:rFonts w:ascii="Arial" w:hAnsi="Arial" w:cs="Arial"/>
        </w:rPr>
        <w:t>ccelerated sulfate exposure at constant pH</w:t>
      </w:r>
      <w:r>
        <w:rPr>
          <w:rFonts w:ascii="Arial" w:hAnsi="Arial" w:cs="Arial"/>
        </w:rPr>
        <w:t xml:space="preserve"> (Fig. 1) </w:t>
      </w:r>
      <w:r w:rsidR="003509DE" w:rsidRPr="003509DE">
        <w:rPr>
          <w:rFonts w:ascii="Arial" w:hAnsi="Arial" w:cs="Arial"/>
        </w:rPr>
        <w:t>reveals that sulfate resistance in ACMs is governed not simply by bulk composition, but by the formation and chemistry of near</w:t>
      </w:r>
      <w:r w:rsidR="003509DE" w:rsidRPr="003509DE">
        <w:rPr>
          <w:rFonts w:ascii="Arial" w:hAnsi="Arial" w:cs="Arial"/>
        </w:rPr>
        <w:noBreakHyphen/>
        <w:t>surface reaction layers and the permeability of the underlying matrix. Ettringite</w:t>
      </w:r>
      <w:r w:rsidR="003509DE" w:rsidRPr="003509DE">
        <w:rPr>
          <w:rFonts w:ascii="Arial" w:hAnsi="Arial" w:cs="Arial"/>
        </w:rPr>
        <w:noBreakHyphen/>
        <w:t xml:space="preserve">based systems, including </w:t>
      </w:r>
      <w:r w:rsidR="00FD3BB0">
        <w:rPr>
          <w:rFonts w:ascii="Arial" w:hAnsi="Arial" w:cs="Arial"/>
        </w:rPr>
        <w:t>CSA</w:t>
      </w:r>
      <w:r w:rsidR="003509DE" w:rsidRPr="003509DE">
        <w:rPr>
          <w:rFonts w:ascii="Arial" w:hAnsi="Arial" w:cs="Arial"/>
        </w:rPr>
        <w:t xml:space="preserve"> cements and CAC blends (CACT), develop a dense, aluminum</w:t>
      </w:r>
      <w:r w:rsidR="003509DE" w:rsidRPr="003509DE">
        <w:rPr>
          <w:rFonts w:ascii="Arial" w:hAnsi="Arial" w:cs="Arial"/>
        </w:rPr>
        <w:noBreakHyphen/>
        <w:t>rich (</w:t>
      </w:r>
      <w:proofErr w:type="gramStart"/>
      <w:r w:rsidR="003509DE" w:rsidRPr="003509DE">
        <w:rPr>
          <w:rFonts w:ascii="Arial" w:hAnsi="Arial" w:cs="Arial"/>
        </w:rPr>
        <w:t>C,N</w:t>
      </w:r>
      <w:proofErr w:type="gramEnd"/>
      <w:r w:rsidR="003509DE" w:rsidRPr="003509DE">
        <w:rPr>
          <w:rFonts w:ascii="Arial" w:hAnsi="Arial" w:cs="Arial"/>
        </w:rPr>
        <w:t>)</w:t>
      </w:r>
      <w:r w:rsidR="003509DE" w:rsidRPr="003509DE">
        <w:rPr>
          <w:rFonts w:ascii="Arial" w:hAnsi="Arial" w:cs="Arial"/>
        </w:rPr>
        <w:noBreakHyphen/>
        <w:t>A</w:t>
      </w:r>
      <w:r w:rsidR="003509DE" w:rsidRPr="003509DE">
        <w:rPr>
          <w:rFonts w:ascii="Arial" w:hAnsi="Arial" w:cs="Arial"/>
        </w:rPr>
        <w:noBreakHyphen/>
        <w:t>S</w:t>
      </w:r>
      <w:r w:rsidR="003509DE" w:rsidRPr="003509DE">
        <w:rPr>
          <w:rFonts w:ascii="Arial" w:hAnsi="Arial" w:cs="Arial"/>
        </w:rPr>
        <w:noBreakHyphen/>
        <w:t xml:space="preserve">H “armoring” layer that limits </w:t>
      </w:r>
      <w:r w:rsidR="003509DE" w:rsidRPr="003509DE">
        <w:rPr>
          <w:rFonts w:ascii="Arial" w:hAnsi="Arial" w:cs="Arial"/>
        </w:rPr>
        <w:lastRenderedPageBreak/>
        <w:t xml:space="preserve">sulfate ingress, suppresses internal damage, and promotes retention of compressive strength. In contrast, converted CAC systems exhibit rapid degradation due primarily to increased porosity associated with conversion, which facilitates sulfate transport and extensive ettringite formation throughout the matrix. Together, these findings demonstrate that sulfate </w:t>
      </w:r>
      <w:proofErr w:type="spellStart"/>
      <w:r w:rsidR="004A4E20">
        <w:rPr>
          <w:rFonts w:ascii="Arial" w:hAnsi="Arial" w:cs="Arial"/>
        </w:rPr>
        <w:t>sulfate</w:t>
      </w:r>
      <w:proofErr w:type="spellEnd"/>
      <w:r w:rsidR="003509DE" w:rsidRPr="003509DE">
        <w:rPr>
          <w:rFonts w:ascii="Arial" w:hAnsi="Arial" w:cs="Arial"/>
        </w:rPr>
        <w:t xml:space="preserve"> in ACMs depends critically on coupled phase chemistry, microstructural evolution, and transport phenomena, rather than on sulfate exposure alone.</w:t>
      </w:r>
    </w:p>
    <w:p w14:paraId="4626CE67" w14:textId="77777777" w:rsidR="00945603" w:rsidRPr="003509DE" w:rsidRDefault="00945603" w:rsidP="003509DE">
      <w:pPr>
        <w:jc w:val="both"/>
        <w:rPr>
          <w:rFonts w:ascii="Arial" w:hAnsi="Arial" w:cs="Arial"/>
          <w:sz w:val="16"/>
          <w:szCs w:val="16"/>
        </w:rPr>
      </w:pPr>
    </w:p>
    <w:p w14:paraId="02E6395F" w14:textId="484C1B05" w:rsidR="0015621B" w:rsidRPr="0015621B" w:rsidRDefault="008B0F90" w:rsidP="0015621B">
      <w:pPr>
        <w:jc w:val="both"/>
        <w:rPr>
          <w:rFonts w:ascii="Arial" w:hAnsi="Arial" w:cs="Arial"/>
        </w:rPr>
      </w:pPr>
      <w:r>
        <w:rPr>
          <w:rFonts w:ascii="Arial" w:hAnsi="Arial" w:cs="Arial"/>
          <w:noProof/>
        </w:rPr>
        <w:drawing>
          <wp:inline distT="0" distB="0" distL="0" distR="0" wp14:anchorId="1F869FE7" wp14:editId="2587FB7C">
            <wp:extent cx="5102966" cy="2642235"/>
            <wp:effectExtent l="0" t="0" r="2540" b="0"/>
            <wp:docPr id="300667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7885" cy="2644782"/>
                    </a:xfrm>
                    <a:prstGeom prst="rect">
                      <a:avLst/>
                    </a:prstGeom>
                    <a:noFill/>
                  </pic:spPr>
                </pic:pic>
              </a:graphicData>
            </a:graphic>
          </wp:inline>
        </w:drawing>
      </w:r>
    </w:p>
    <w:p w14:paraId="38696475" w14:textId="229B2D90" w:rsidR="00DA0E47" w:rsidRPr="000F18C0" w:rsidRDefault="000F18C0" w:rsidP="000F18C0">
      <w:pPr>
        <w:rPr>
          <w:rFonts w:ascii="Arial" w:hAnsi="Arial" w:cs="Arial"/>
          <w:sz w:val="20"/>
        </w:rPr>
      </w:pPr>
      <w:r w:rsidRPr="000F18C0">
        <w:rPr>
          <w:rFonts w:ascii="Arial" w:hAnsi="Arial" w:cs="Arial"/>
          <w:sz w:val="20"/>
        </w:rPr>
        <w:t>Fig</w:t>
      </w:r>
      <w:r>
        <w:rPr>
          <w:rFonts w:ascii="Arial" w:hAnsi="Arial" w:cs="Arial"/>
          <w:sz w:val="20"/>
        </w:rPr>
        <w:t>ure 1.</w:t>
      </w:r>
      <w:r w:rsidRPr="000F18C0">
        <w:rPr>
          <w:rFonts w:ascii="Arial" w:hAnsi="Arial" w:cs="Arial"/>
          <w:sz w:val="20"/>
        </w:rPr>
        <w:t xml:space="preserve"> Average change in compressive strength, relative to strength prior to the exposure, for OPC and ACM paste cubes, exposed to a 4% (w/w) sodium sulfate solution. A 100% strength loss indicates the sample integrity was so compromised it could not be tested.  </w:t>
      </w:r>
    </w:p>
    <w:p w14:paraId="06D75F39" w14:textId="77777777" w:rsidR="000F18C0" w:rsidRPr="00631488" w:rsidRDefault="000F18C0" w:rsidP="001A5DD0">
      <w:pPr>
        <w:jc w:val="both"/>
        <w:rPr>
          <w:rFonts w:ascii="Arial" w:hAnsi="Arial" w:cs="Arial"/>
          <w:b/>
          <w:bCs/>
          <w:sz w:val="16"/>
          <w:szCs w:val="16"/>
        </w:rPr>
      </w:pPr>
    </w:p>
    <w:p w14:paraId="615D1BCF" w14:textId="06AFE228" w:rsidR="00642C6B" w:rsidRPr="004D00B1" w:rsidRDefault="00642C6B" w:rsidP="001A5DD0">
      <w:pPr>
        <w:jc w:val="both"/>
        <w:rPr>
          <w:rFonts w:ascii="Arial" w:hAnsi="Arial" w:cs="Arial"/>
        </w:rPr>
      </w:pPr>
      <w:r w:rsidRPr="00642C6B">
        <w:rPr>
          <w:noProof/>
        </w:rPr>
        <w:drawing>
          <wp:inline distT="0" distB="0" distL="0" distR="0" wp14:anchorId="17D55AA8" wp14:editId="551965BC">
            <wp:extent cx="4886325" cy="3097773"/>
            <wp:effectExtent l="0" t="0" r="0" b="7620"/>
            <wp:docPr id="1416873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873553" name=""/>
                    <pic:cNvPicPr/>
                  </pic:nvPicPr>
                  <pic:blipFill>
                    <a:blip r:embed="rId9"/>
                    <a:stretch>
                      <a:fillRect/>
                    </a:stretch>
                  </pic:blipFill>
                  <pic:spPr>
                    <a:xfrm>
                      <a:off x="0" y="0"/>
                      <a:ext cx="4886325" cy="3097773"/>
                    </a:xfrm>
                    <a:prstGeom prst="rect">
                      <a:avLst/>
                    </a:prstGeom>
                  </pic:spPr>
                </pic:pic>
              </a:graphicData>
            </a:graphic>
          </wp:inline>
        </w:drawing>
      </w:r>
    </w:p>
    <w:p w14:paraId="1C332D8C" w14:textId="7B25DD0C" w:rsidR="001A5DD0" w:rsidRPr="00927B62" w:rsidRDefault="00645227" w:rsidP="00DA0E47">
      <w:pPr>
        <w:pStyle w:val="Caption"/>
        <w:jc w:val="left"/>
        <w:rPr>
          <w:szCs w:val="24"/>
        </w:rPr>
      </w:pPr>
      <w:r w:rsidRPr="00F7640D">
        <w:rPr>
          <w:szCs w:val="24"/>
        </w:rPr>
        <w:t xml:space="preserve">Figure </w:t>
      </w:r>
      <w:r>
        <w:rPr>
          <w:szCs w:val="24"/>
        </w:rPr>
        <w:t>2</w:t>
      </w:r>
      <w:r w:rsidRPr="00F7640D">
        <w:rPr>
          <w:szCs w:val="24"/>
        </w:rPr>
        <w:t xml:space="preserve">.  Comparison of expansion of </w:t>
      </w:r>
      <w:r w:rsidR="00941DDD">
        <w:rPr>
          <w:szCs w:val="24"/>
        </w:rPr>
        <w:t xml:space="preserve">ASTM C1293 concrete prisms prepared with different ACMs, </w:t>
      </w:r>
      <w:r w:rsidR="00404AA7">
        <w:rPr>
          <w:szCs w:val="24"/>
        </w:rPr>
        <w:t xml:space="preserve">compare with </w:t>
      </w:r>
      <w:r w:rsidR="00941DDD">
        <w:rPr>
          <w:szCs w:val="24"/>
        </w:rPr>
        <w:t xml:space="preserve">OPC and OPC with </w:t>
      </w:r>
      <w:r w:rsidR="00404AA7">
        <w:rPr>
          <w:szCs w:val="24"/>
        </w:rPr>
        <w:t>50% Class C fly ash</w:t>
      </w:r>
      <w:r w:rsidRPr="00F7640D">
        <w:rPr>
          <w:szCs w:val="24"/>
        </w:rPr>
        <w:t xml:space="preserve"> at 2 years.</w:t>
      </w:r>
    </w:p>
    <w:p w14:paraId="362FA25D" w14:textId="77777777" w:rsidR="00DA0E47" w:rsidRPr="004D00B1" w:rsidRDefault="00DA0E47" w:rsidP="00DA0E47">
      <w:pPr>
        <w:jc w:val="both"/>
        <w:rPr>
          <w:rFonts w:ascii="Arial" w:hAnsi="Arial" w:cs="Arial"/>
          <w:b/>
          <w:bCs/>
        </w:rPr>
      </w:pPr>
      <w:r w:rsidRPr="004D00B1">
        <w:rPr>
          <w:rFonts w:ascii="Arial" w:hAnsi="Arial" w:cs="Arial"/>
          <w:b/>
          <w:bCs/>
        </w:rPr>
        <w:lastRenderedPageBreak/>
        <w:t>Alkali–Silica Reaction Mitigation</w:t>
      </w:r>
    </w:p>
    <w:p w14:paraId="5C749456" w14:textId="5952AEAC" w:rsidR="00DA0E47" w:rsidRDefault="00DA0E47" w:rsidP="00DA0E47">
      <w:pPr>
        <w:jc w:val="both"/>
        <w:rPr>
          <w:rFonts w:ascii="Arial" w:hAnsi="Arial" w:cs="Arial"/>
        </w:rPr>
      </w:pPr>
      <w:r w:rsidRPr="00DB20E1">
        <w:rPr>
          <w:rFonts w:ascii="Arial" w:hAnsi="Arial" w:cs="Arial"/>
        </w:rPr>
        <w:t>T</w:t>
      </w:r>
      <w:r w:rsidRPr="004D00B1">
        <w:rPr>
          <w:rFonts w:ascii="Arial" w:hAnsi="Arial" w:cs="Arial"/>
        </w:rPr>
        <w:t>wo</w:t>
      </w:r>
      <w:r w:rsidRPr="004D00B1">
        <w:rPr>
          <w:rFonts w:ascii="Arial" w:hAnsi="Arial" w:cs="Arial"/>
        </w:rPr>
        <w:noBreakHyphen/>
        <w:t xml:space="preserve">year concrete prism test data </w:t>
      </w:r>
      <w:r>
        <w:rPr>
          <w:rFonts w:ascii="Arial" w:hAnsi="Arial" w:cs="Arial"/>
        </w:rPr>
        <w:t xml:space="preserve">(Fig. 2) </w:t>
      </w:r>
      <w:r w:rsidRPr="004D00B1">
        <w:rPr>
          <w:rFonts w:ascii="Arial" w:hAnsi="Arial" w:cs="Arial"/>
        </w:rPr>
        <w:t>demonstrate</w:t>
      </w:r>
      <w:r w:rsidR="00E03531">
        <w:rPr>
          <w:rFonts w:ascii="Arial" w:hAnsi="Arial" w:cs="Arial"/>
        </w:rPr>
        <w:t>s</w:t>
      </w:r>
      <w:r>
        <w:rPr>
          <w:rFonts w:ascii="Arial" w:hAnsi="Arial" w:cs="Arial"/>
        </w:rPr>
        <w:t xml:space="preserve"> that CAC concrete experienced</w:t>
      </w:r>
      <w:r w:rsidRPr="004D00B1">
        <w:rPr>
          <w:rFonts w:ascii="Arial" w:hAnsi="Arial" w:cs="Arial"/>
        </w:rPr>
        <w:t xml:space="preserve"> </w:t>
      </w:r>
      <w:r>
        <w:rPr>
          <w:rFonts w:ascii="Arial" w:hAnsi="Arial" w:cs="Arial"/>
        </w:rPr>
        <w:t xml:space="preserve">less </w:t>
      </w:r>
      <w:r w:rsidRPr="004D00B1">
        <w:rPr>
          <w:rFonts w:ascii="Arial" w:hAnsi="Arial" w:cs="Arial"/>
        </w:rPr>
        <w:t xml:space="preserve">expansion relative to OPC </w:t>
      </w:r>
      <w:r>
        <w:rPr>
          <w:rFonts w:ascii="Arial" w:hAnsi="Arial" w:cs="Arial"/>
        </w:rPr>
        <w:t xml:space="preserve">when tested with a reactive aggregate. These findings are </w:t>
      </w:r>
      <w:r w:rsidRPr="004D00B1">
        <w:rPr>
          <w:rFonts w:ascii="Arial" w:hAnsi="Arial" w:cs="Arial"/>
        </w:rPr>
        <w:t xml:space="preserve">consistent with the lower pore solution alkalinity </w:t>
      </w:r>
      <w:r>
        <w:rPr>
          <w:rFonts w:ascii="Arial" w:hAnsi="Arial" w:cs="Arial"/>
        </w:rPr>
        <w:t xml:space="preserve">and alkali </w:t>
      </w:r>
      <w:r w:rsidRPr="004D00B1">
        <w:rPr>
          <w:rFonts w:ascii="Arial" w:hAnsi="Arial" w:cs="Arial"/>
        </w:rPr>
        <w:t>availability</w:t>
      </w:r>
      <w:r>
        <w:rPr>
          <w:rFonts w:ascii="Arial" w:hAnsi="Arial" w:cs="Arial"/>
        </w:rPr>
        <w:t xml:space="preserve"> in CAC compared to OPC. </w:t>
      </w:r>
      <w:r w:rsidRPr="00945603">
        <w:rPr>
          <w:rFonts w:ascii="Arial" w:hAnsi="Arial" w:cs="Arial"/>
        </w:rPr>
        <w:t>However, a blended CAC (i.e., CACT) experienced higher expansion than OPC, attributable to increased pore connectivity combined with sufficient alkali availability from the OPC componen</w:t>
      </w:r>
      <w:r>
        <w:rPr>
          <w:rFonts w:ascii="Arial" w:hAnsi="Arial" w:cs="Arial"/>
        </w:rPr>
        <w:t xml:space="preserve">t. </w:t>
      </w:r>
    </w:p>
    <w:p w14:paraId="5E79C3CD" w14:textId="77777777" w:rsidR="00DA0E47" w:rsidRPr="00945603" w:rsidRDefault="00DA0E47" w:rsidP="00DA0E47">
      <w:pPr>
        <w:jc w:val="both"/>
        <w:rPr>
          <w:rFonts w:ascii="Arial" w:hAnsi="Arial" w:cs="Arial"/>
        </w:rPr>
      </w:pPr>
    </w:p>
    <w:p w14:paraId="5B117220" w14:textId="77777777" w:rsidR="00B81B2B" w:rsidRDefault="00911A12" w:rsidP="00B81B2B">
      <w:pPr>
        <w:jc w:val="both"/>
        <w:rPr>
          <w:rFonts w:ascii="Arial" w:hAnsi="Arial" w:cs="Arial"/>
          <w:b/>
          <w:bCs/>
        </w:rPr>
      </w:pPr>
      <w:r w:rsidRPr="00911A12">
        <w:rPr>
          <w:rFonts w:ascii="Arial" w:hAnsi="Arial" w:cs="Arial"/>
          <w:b/>
          <w:bCs/>
        </w:rPr>
        <w:t xml:space="preserve">Transport Properties </w:t>
      </w:r>
    </w:p>
    <w:p w14:paraId="62FFEDAE" w14:textId="46206D6C" w:rsidR="0082626F" w:rsidRDefault="00E7303B" w:rsidP="00CC5D09">
      <w:pPr>
        <w:jc w:val="both"/>
        <w:rPr>
          <w:rFonts w:ascii="Arial" w:hAnsi="Arial" w:cs="Arial"/>
        </w:rPr>
      </w:pPr>
      <w:r w:rsidRPr="00E7303B">
        <w:rPr>
          <w:rFonts w:ascii="Arial" w:hAnsi="Arial" w:cs="Arial"/>
        </w:rPr>
        <w:t>As shown in Fig</w:t>
      </w:r>
      <w:r w:rsidR="00E43CEE">
        <w:rPr>
          <w:rFonts w:ascii="Arial" w:hAnsi="Arial" w:cs="Arial"/>
        </w:rPr>
        <w:t>.</w:t>
      </w:r>
      <w:r w:rsidRPr="00E7303B">
        <w:rPr>
          <w:rFonts w:ascii="Arial" w:hAnsi="Arial" w:cs="Arial"/>
        </w:rPr>
        <w:t xml:space="preserve"> 3, CAC and CACT m</w:t>
      </w:r>
      <w:r w:rsidR="00EE2D86">
        <w:rPr>
          <w:rFonts w:ascii="Arial" w:hAnsi="Arial" w:cs="Arial"/>
        </w:rPr>
        <w:t xml:space="preserve">ortars </w:t>
      </w:r>
      <w:r w:rsidRPr="00E7303B">
        <w:rPr>
          <w:rFonts w:ascii="Arial" w:hAnsi="Arial" w:cs="Arial"/>
        </w:rPr>
        <w:t>generally exhibit lower formation factors than OPC at comparable total porosity</w:t>
      </w:r>
      <w:r w:rsidR="00E43CEE">
        <w:rPr>
          <w:rFonts w:ascii="Arial" w:hAnsi="Arial" w:cs="Arial"/>
        </w:rPr>
        <w:t xml:space="preserve"> (</w:t>
      </w:r>
      <w:r w:rsidR="00E43CEE" w:rsidRPr="00E43CEE">
        <w:rPr>
          <w:rFonts w:ascii="Symbol" w:hAnsi="Symbol" w:cs="Arial"/>
          <w:i/>
          <w:iCs/>
        </w:rPr>
        <w:t>f</w:t>
      </w:r>
      <w:r w:rsidR="00E43CEE">
        <w:rPr>
          <w:rFonts w:ascii="Arial" w:hAnsi="Arial" w:cs="Arial"/>
        </w:rPr>
        <w:t>)</w:t>
      </w:r>
      <w:r w:rsidRPr="00E7303B">
        <w:rPr>
          <w:rFonts w:ascii="Arial" w:hAnsi="Arial" w:cs="Arial"/>
        </w:rPr>
        <w:t xml:space="preserve">, indicating a more transport-efficient pore network despite similar void fractions. </w:t>
      </w:r>
      <w:r w:rsidR="000E6EDE" w:rsidRPr="000E6EDE">
        <w:rPr>
          <w:rFonts w:ascii="Arial" w:hAnsi="Arial" w:cs="Arial"/>
        </w:rPr>
        <w:t>This trend is consistent with</w:t>
      </w:r>
      <w:r w:rsidR="001C0021">
        <w:rPr>
          <w:rFonts w:ascii="Arial" w:hAnsi="Arial" w:cs="Arial"/>
        </w:rPr>
        <w:t xml:space="preserve"> </w:t>
      </w:r>
      <w:r w:rsidR="006D2FE0">
        <w:rPr>
          <w:rFonts w:ascii="Arial" w:hAnsi="Arial" w:cs="Arial"/>
        </w:rPr>
        <w:t xml:space="preserve">paste </w:t>
      </w:r>
      <w:proofErr w:type="spellStart"/>
      <w:r w:rsidR="000E6EDE" w:rsidRPr="000E6EDE">
        <w:rPr>
          <w:rFonts w:ascii="Arial" w:hAnsi="Arial" w:cs="Arial"/>
        </w:rPr>
        <w:t>sorptivity</w:t>
      </w:r>
      <w:proofErr w:type="spellEnd"/>
      <w:r w:rsidR="000E6EDE" w:rsidRPr="000E6EDE">
        <w:rPr>
          <w:rFonts w:ascii="Arial" w:hAnsi="Arial" w:cs="Arial"/>
        </w:rPr>
        <w:t xml:space="preserve"> </w:t>
      </w:r>
      <w:r w:rsidR="001C0021">
        <w:rPr>
          <w:rFonts w:ascii="Arial" w:hAnsi="Arial" w:cs="Arial"/>
        </w:rPr>
        <w:t>performed at varying w/b</w:t>
      </w:r>
      <w:r w:rsidR="000E6EDE" w:rsidRPr="000E6EDE">
        <w:rPr>
          <w:rFonts w:ascii="Arial" w:hAnsi="Arial" w:cs="Arial"/>
        </w:rPr>
        <w:t xml:space="preserve">, which </w:t>
      </w:r>
      <w:proofErr w:type="gramStart"/>
      <w:r w:rsidR="000E6EDE" w:rsidRPr="000E6EDE">
        <w:rPr>
          <w:rFonts w:ascii="Arial" w:hAnsi="Arial" w:cs="Arial"/>
        </w:rPr>
        <w:t>show</w:t>
      </w:r>
      <w:proofErr w:type="gramEnd"/>
      <w:r w:rsidR="000E6EDE" w:rsidRPr="000E6EDE">
        <w:rPr>
          <w:rFonts w:ascii="Arial" w:hAnsi="Arial" w:cs="Arial"/>
        </w:rPr>
        <w:t xml:space="preserve"> higher </w:t>
      </w:r>
      <w:r w:rsidR="00586F36">
        <w:rPr>
          <w:rFonts w:ascii="Arial" w:hAnsi="Arial" w:cs="Arial"/>
        </w:rPr>
        <w:t xml:space="preserve">total </w:t>
      </w:r>
      <w:r w:rsidR="00A453A4">
        <w:rPr>
          <w:rFonts w:ascii="Arial" w:hAnsi="Arial" w:cs="Arial"/>
        </w:rPr>
        <w:t xml:space="preserve">water </w:t>
      </w:r>
      <w:r w:rsidR="000E6EDE" w:rsidRPr="000E6EDE">
        <w:rPr>
          <w:rFonts w:ascii="Arial" w:hAnsi="Arial" w:cs="Arial"/>
        </w:rPr>
        <w:t xml:space="preserve">sorption </w:t>
      </w:r>
      <w:r w:rsidR="00A453A4">
        <w:rPr>
          <w:rFonts w:ascii="Arial" w:hAnsi="Arial" w:cs="Arial"/>
        </w:rPr>
        <w:t xml:space="preserve">in CAC and CACT at </w:t>
      </w:r>
      <w:r w:rsidR="000E6EDE" w:rsidRPr="000E6EDE">
        <w:rPr>
          <w:rFonts w:ascii="Arial" w:hAnsi="Arial" w:cs="Arial"/>
        </w:rPr>
        <w:t>similar w/</w:t>
      </w:r>
      <w:r w:rsidR="00751147">
        <w:rPr>
          <w:rFonts w:ascii="Arial" w:hAnsi="Arial" w:cs="Arial"/>
        </w:rPr>
        <w:t>b compared to OPC</w:t>
      </w:r>
      <w:r w:rsidR="000E6EDE" w:rsidRPr="000E6EDE">
        <w:rPr>
          <w:rFonts w:ascii="Arial" w:hAnsi="Arial" w:cs="Arial"/>
        </w:rPr>
        <w:t xml:space="preserve">. </w:t>
      </w:r>
      <w:r w:rsidR="00462BEA">
        <w:rPr>
          <w:rFonts w:ascii="Arial" w:hAnsi="Arial" w:cs="Arial"/>
        </w:rPr>
        <w:t>Of the ACMs examined,</w:t>
      </w:r>
      <w:r w:rsidR="00520339">
        <w:rPr>
          <w:rFonts w:ascii="Arial" w:hAnsi="Arial" w:cs="Arial"/>
        </w:rPr>
        <w:t xml:space="preserve"> </w:t>
      </w:r>
      <w:proofErr w:type="spellStart"/>
      <w:r w:rsidR="00520339">
        <w:rPr>
          <w:rFonts w:ascii="Arial" w:hAnsi="Arial" w:cs="Arial"/>
        </w:rPr>
        <w:t>sorptivity</w:t>
      </w:r>
      <w:proofErr w:type="spellEnd"/>
      <w:r w:rsidR="00520339">
        <w:rPr>
          <w:rFonts w:ascii="Arial" w:hAnsi="Arial" w:cs="Arial"/>
        </w:rPr>
        <w:t xml:space="preserve"> in</w:t>
      </w:r>
      <w:r w:rsidR="00462BEA">
        <w:rPr>
          <w:rFonts w:ascii="Arial" w:hAnsi="Arial" w:cs="Arial"/>
        </w:rPr>
        <w:t xml:space="preserve"> </w:t>
      </w:r>
      <w:r w:rsidR="00462BEA" w:rsidRPr="00462BEA">
        <w:rPr>
          <w:rFonts w:ascii="Arial" w:hAnsi="Arial" w:cs="Arial"/>
        </w:rPr>
        <w:t>CACT</w:t>
      </w:r>
      <w:r w:rsidR="00462BEA">
        <w:rPr>
          <w:rFonts w:ascii="Arial" w:hAnsi="Arial" w:cs="Arial"/>
        </w:rPr>
        <w:t xml:space="preserve"> </w:t>
      </w:r>
      <w:r w:rsidR="000F1661">
        <w:rPr>
          <w:rFonts w:ascii="Arial" w:hAnsi="Arial" w:cs="Arial"/>
        </w:rPr>
        <w:t xml:space="preserve">also </w:t>
      </w:r>
      <w:r w:rsidR="00462BEA">
        <w:rPr>
          <w:rFonts w:ascii="Arial" w:hAnsi="Arial" w:cs="Arial"/>
        </w:rPr>
        <w:t>showed the greatest sensitivity</w:t>
      </w:r>
      <w:r w:rsidR="00462BEA" w:rsidRPr="00462BEA">
        <w:rPr>
          <w:rFonts w:ascii="Arial" w:hAnsi="Arial" w:cs="Arial"/>
        </w:rPr>
        <w:t xml:space="preserve"> to variations in w/</w:t>
      </w:r>
      <w:r w:rsidR="00462BEA">
        <w:rPr>
          <w:rFonts w:ascii="Arial" w:hAnsi="Arial" w:cs="Arial"/>
        </w:rPr>
        <w:t xml:space="preserve">b. </w:t>
      </w:r>
      <w:r w:rsidRPr="00E7303B">
        <w:rPr>
          <w:rFonts w:ascii="Arial" w:hAnsi="Arial" w:cs="Arial"/>
        </w:rPr>
        <w:t>These results demonstrate that total porosity alone is insufficient to assess durability, and that transport metrics capturing pore connectivity and tortuosity are required.</w:t>
      </w:r>
    </w:p>
    <w:p w14:paraId="3BA3A5E0" w14:textId="0816852E" w:rsidR="00CC5D09" w:rsidRDefault="00CC5D09" w:rsidP="00CC5D09">
      <w:pPr>
        <w:jc w:val="both"/>
        <w:rPr>
          <w:rFonts w:ascii="Arial" w:hAnsi="Arial" w:cs="Arial"/>
          <w:noProof/>
        </w:rPr>
      </w:pPr>
      <w:r w:rsidRPr="00CC5D09">
        <w:rPr>
          <w:rFonts w:ascii="Arial" w:hAnsi="Arial" w:cs="Arial"/>
          <w:noProof/>
        </w:rPr>
        <w:drawing>
          <wp:inline distT="0" distB="0" distL="0" distR="0" wp14:anchorId="059837DC" wp14:editId="6E2E1AFF">
            <wp:extent cx="4448175" cy="3484800"/>
            <wp:effectExtent l="0" t="0" r="0" b="1905"/>
            <wp:docPr id="513511051"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rotWithShape="1">
                    <a:blip r:embed="rId10">
                      <a:extLst>
                        <a:ext uri="{28A0092B-C50C-407E-A947-70E740481C1C}">
                          <a14:useLocalDpi xmlns:a14="http://schemas.microsoft.com/office/drawing/2010/main" val="0"/>
                        </a:ext>
                      </a:extLst>
                    </a:blip>
                    <a:srcRect l="15320" t="8329" r="13945" b="48851"/>
                    <a:stretch>
                      <a:fillRect/>
                    </a:stretch>
                  </pic:blipFill>
                  <pic:spPr bwMode="auto">
                    <a:xfrm>
                      <a:off x="0" y="0"/>
                      <a:ext cx="4460043" cy="3494097"/>
                    </a:xfrm>
                    <a:prstGeom prst="rect">
                      <a:avLst/>
                    </a:prstGeom>
                    <a:noFill/>
                    <a:ln>
                      <a:noFill/>
                    </a:ln>
                    <a:extLst>
                      <a:ext uri="{53640926-AAD7-44D8-BBD7-CCE9431645EC}">
                        <a14:shadowObscured xmlns:a14="http://schemas.microsoft.com/office/drawing/2010/main"/>
                      </a:ext>
                    </a:extLst>
                  </pic:spPr>
                </pic:pic>
              </a:graphicData>
            </a:graphic>
          </wp:inline>
        </w:drawing>
      </w:r>
    </w:p>
    <w:p w14:paraId="43306FF6" w14:textId="410533F8" w:rsidR="00416527" w:rsidRPr="00631488" w:rsidRDefault="00973426" w:rsidP="0005053E">
      <w:pPr>
        <w:pStyle w:val="Caption"/>
        <w:jc w:val="both"/>
        <w:rPr>
          <w:szCs w:val="24"/>
          <w:highlight w:val="yellow"/>
          <w:lang w:val="en-GB"/>
        </w:rPr>
      </w:pPr>
      <w:r w:rsidRPr="00F7640D">
        <w:rPr>
          <w:szCs w:val="24"/>
        </w:rPr>
        <w:t xml:space="preserve">Figure </w:t>
      </w:r>
      <w:r>
        <w:rPr>
          <w:szCs w:val="24"/>
        </w:rPr>
        <w:t>3</w:t>
      </w:r>
      <w:r w:rsidRPr="00F7640D">
        <w:rPr>
          <w:szCs w:val="24"/>
        </w:rPr>
        <w:t xml:space="preserve">.  </w:t>
      </w:r>
      <w:r w:rsidRPr="00973426">
        <w:rPr>
          <w:bCs w:val="0"/>
          <w:szCs w:val="24"/>
        </w:rPr>
        <w:t>Formation factor (F) versus total porosity (</w:t>
      </w:r>
      <w:r w:rsidRPr="00973426">
        <w:rPr>
          <w:rFonts w:ascii="Cambria Math" w:hAnsi="Cambria Math" w:cs="Cambria Math"/>
          <w:bCs w:val="0"/>
          <w:szCs w:val="24"/>
        </w:rPr>
        <w:t>𝛷</w:t>
      </w:r>
      <w:r w:rsidRPr="00973426">
        <w:rPr>
          <w:bCs w:val="0"/>
          <w:szCs w:val="24"/>
        </w:rPr>
        <w:t>) in ACM mortar mixtures compared to that of OPC at varied w</w:t>
      </w:r>
      <w:r>
        <w:rPr>
          <w:bCs w:val="0"/>
          <w:szCs w:val="24"/>
        </w:rPr>
        <w:t>ater-to-binder ratios (w/b)</w:t>
      </w:r>
      <w:r w:rsidRPr="00973426">
        <w:rPr>
          <w:bCs w:val="0"/>
          <w:szCs w:val="24"/>
        </w:rPr>
        <w:t>.</w:t>
      </w:r>
    </w:p>
    <w:p w14:paraId="34440988" w14:textId="628A322C" w:rsidR="001D1CBD" w:rsidRPr="00F7640D" w:rsidRDefault="00D17602" w:rsidP="00F7640D">
      <w:pPr>
        <w:pStyle w:val="Heading1"/>
      </w:pPr>
      <w:r w:rsidRPr="00F7640D">
        <w:t>REFERENCES</w:t>
      </w:r>
    </w:p>
    <w:p w14:paraId="72313FB4" w14:textId="089CA5AB" w:rsidR="00631488" w:rsidRPr="00631488" w:rsidRDefault="00631488" w:rsidP="00631488">
      <w:pPr>
        <w:pStyle w:val="Legal1"/>
        <w:numPr>
          <w:ilvl w:val="0"/>
          <w:numId w:val="10"/>
        </w:num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ind w:left="180" w:hanging="270"/>
        <w:rPr>
          <w:rFonts w:ascii="Arial" w:hAnsi="Arial" w:cs="Arial"/>
          <w:bCs/>
          <w:sz w:val="20"/>
        </w:rPr>
      </w:pPr>
      <w:r w:rsidRPr="00631488">
        <w:rPr>
          <w:rFonts w:ascii="Arial" w:hAnsi="Arial" w:cs="Arial"/>
          <w:bCs/>
          <w:sz w:val="20"/>
        </w:rPr>
        <w:t xml:space="preserve">Kurtis, K.E., Alapati, P., Burris, L.E., Ley, M.T., Peery, J., </w:t>
      </w:r>
      <w:proofErr w:type="spellStart"/>
      <w:r w:rsidRPr="00631488">
        <w:rPr>
          <w:rFonts w:ascii="Arial" w:hAnsi="Arial" w:cs="Arial"/>
          <w:bCs/>
          <w:sz w:val="20"/>
        </w:rPr>
        <w:t>Hajibabaee</w:t>
      </w:r>
      <w:proofErr w:type="spellEnd"/>
      <w:r w:rsidRPr="00631488">
        <w:rPr>
          <w:rFonts w:ascii="Arial" w:hAnsi="Arial" w:cs="Arial"/>
          <w:bCs/>
          <w:sz w:val="20"/>
        </w:rPr>
        <w:t xml:space="preserve">, A., </w:t>
      </w:r>
      <w:proofErr w:type="spellStart"/>
      <w:r w:rsidRPr="00631488">
        <w:rPr>
          <w:rFonts w:ascii="Arial" w:hAnsi="Arial" w:cs="Arial"/>
          <w:bCs/>
          <w:sz w:val="20"/>
        </w:rPr>
        <w:t>Behravan</w:t>
      </w:r>
      <w:proofErr w:type="spellEnd"/>
      <w:r w:rsidRPr="00631488">
        <w:rPr>
          <w:rFonts w:ascii="Arial" w:hAnsi="Arial" w:cs="Arial"/>
          <w:bCs/>
          <w:sz w:val="20"/>
        </w:rPr>
        <w:t xml:space="preserve">, A., Khanzadeh, M., Berke, N.S., Moser, R., </w:t>
      </w:r>
      <w:r w:rsidRPr="00631488">
        <w:rPr>
          <w:rFonts w:ascii="Arial" w:hAnsi="Arial" w:cs="Arial"/>
          <w:bCs/>
          <w:i/>
          <w:iCs/>
          <w:sz w:val="20"/>
        </w:rPr>
        <w:t>Novel Alternative Cementitious Materials for Development of the Next Generation of Sustainable Transportation Infrastructure</w:t>
      </w:r>
      <w:r w:rsidRPr="00631488">
        <w:rPr>
          <w:rFonts w:ascii="Arial" w:hAnsi="Arial" w:cs="Arial"/>
          <w:bCs/>
          <w:sz w:val="20"/>
        </w:rPr>
        <w:t>, FHWA</w:t>
      </w:r>
      <w:r w:rsidRPr="00631488">
        <w:rPr>
          <w:rFonts w:ascii="Arial" w:hAnsi="Arial" w:cs="Arial"/>
          <w:bCs/>
          <w:sz w:val="20"/>
        </w:rPr>
        <w:noBreakHyphen/>
        <w:t>HRT</w:t>
      </w:r>
      <w:r w:rsidRPr="00631488">
        <w:rPr>
          <w:rFonts w:ascii="Arial" w:hAnsi="Arial" w:cs="Arial"/>
          <w:bCs/>
          <w:sz w:val="20"/>
        </w:rPr>
        <w:noBreakHyphen/>
        <w:t>24</w:t>
      </w:r>
      <w:r w:rsidRPr="00631488">
        <w:rPr>
          <w:rFonts w:ascii="Arial" w:hAnsi="Arial" w:cs="Arial"/>
          <w:bCs/>
          <w:sz w:val="20"/>
        </w:rPr>
        <w:noBreakHyphen/>
        <w:t>012, Federal Highway Administration, Turner</w:t>
      </w:r>
      <w:r w:rsidRPr="00631488">
        <w:rPr>
          <w:rFonts w:ascii="Arial" w:hAnsi="Arial" w:cs="Arial"/>
          <w:bCs/>
          <w:sz w:val="20"/>
        </w:rPr>
        <w:noBreakHyphen/>
        <w:t xml:space="preserve">Fairbank Highway Research Center, Washington, DC, 2024. </w:t>
      </w:r>
      <w:hyperlink r:id="rId11" w:history="1">
        <w:r w:rsidRPr="00631488">
          <w:rPr>
            <w:rStyle w:val="Hyperlink"/>
            <w:rFonts w:ascii="Arial" w:hAnsi="Arial" w:cs="Arial"/>
            <w:bCs/>
            <w:sz w:val="20"/>
          </w:rPr>
          <w:t>https://doi.org/10.21949/1521792</w:t>
        </w:r>
      </w:hyperlink>
    </w:p>
    <w:p w14:paraId="51A52F83" w14:textId="3CC0B60F" w:rsidR="00A50BFD" w:rsidRPr="00F7640D" w:rsidRDefault="00631488" w:rsidP="00C2304F">
      <w:pPr>
        <w:pStyle w:val="Legal1"/>
        <w:numPr>
          <w:ilvl w:val="0"/>
          <w:numId w:val="10"/>
        </w:num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ind w:left="180" w:hanging="270"/>
        <w:rPr>
          <w:rFonts w:ascii="Arial" w:hAnsi="Arial" w:cs="Arial"/>
        </w:rPr>
      </w:pPr>
      <w:r w:rsidRPr="00631488">
        <w:rPr>
          <w:rFonts w:ascii="Arial" w:hAnsi="Arial" w:cs="Arial"/>
          <w:bCs/>
          <w:sz w:val="20"/>
        </w:rPr>
        <w:t xml:space="preserve">Alapati, P., </w:t>
      </w:r>
      <w:r w:rsidRPr="00631488">
        <w:rPr>
          <w:rFonts w:ascii="Arial" w:hAnsi="Arial" w:cs="Arial"/>
          <w:bCs/>
          <w:i/>
          <w:iCs/>
          <w:sz w:val="20"/>
        </w:rPr>
        <w:t>Multiscale Investigation of Alternative Cementitious Material Systems</w:t>
      </w:r>
      <w:r w:rsidRPr="00631488">
        <w:rPr>
          <w:rFonts w:ascii="Arial" w:hAnsi="Arial" w:cs="Arial"/>
          <w:bCs/>
          <w:sz w:val="20"/>
        </w:rPr>
        <w:t>, Ph.D. Thesis, Georgia Institute of Technology, Atlanta, GA, 2020.</w:t>
      </w:r>
    </w:p>
    <w:sectPr w:rsidR="00A50BFD" w:rsidRPr="00F7640D" w:rsidSect="00F7640D">
      <w:footerReference w:type="even" r:id="rId12"/>
      <w:footerReference w:type="default" r:id="rId13"/>
      <w:headerReference w:type="first" r:id="rId14"/>
      <w:footerReference w:type="first" r:id="rId15"/>
      <w:endnotePr>
        <w:numFmt w:val="decimal"/>
      </w:endnotePr>
      <w:pgSz w:w="11905" w:h="16837" w:code="9"/>
      <w:pgMar w:top="1699" w:right="1699" w:bottom="1699" w:left="1699" w:header="720" w:footer="720" w:gutter="57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B7B52" w14:textId="77777777" w:rsidR="00330481" w:rsidRDefault="00330481">
      <w:r>
        <w:separator/>
      </w:r>
    </w:p>
  </w:endnote>
  <w:endnote w:type="continuationSeparator" w:id="0">
    <w:p w14:paraId="4CD6CC32" w14:textId="77777777" w:rsidR="00330481" w:rsidRDefault="0033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A28F" w14:textId="77777777" w:rsidR="00E0465F" w:rsidRDefault="00E0465F" w:rsidP="00E8173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E5A0B7" w14:textId="77777777" w:rsidR="00E0465F" w:rsidRDefault="00E0465F" w:rsidP="00E046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0C5B" w14:textId="77777777" w:rsidR="00E0465F" w:rsidRPr="00F7640D" w:rsidRDefault="00E0465F" w:rsidP="00E81735">
    <w:pPr>
      <w:pStyle w:val="Footer"/>
      <w:framePr w:wrap="none" w:vAnchor="text" w:hAnchor="margin" w:xAlign="right" w:y="1"/>
      <w:rPr>
        <w:rStyle w:val="PageNumber"/>
        <w:rFonts w:ascii="Arial" w:hAnsi="Arial" w:cs="Arial"/>
      </w:rPr>
    </w:pPr>
    <w:r w:rsidRPr="00F7640D">
      <w:rPr>
        <w:rStyle w:val="PageNumber"/>
        <w:rFonts w:ascii="Arial" w:hAnsi="Arial" w:cs="Arial"/>
      </w:rPr>
      <w:fldChar w:fldCharType="begin"/>
    </w:r>
    <w:r w:rsidRPr="00F7640D">
      <w:rPr>
        <w:rStyle w:val="PageNumber"/>
        <w:rFonts w:ascii="Arial" w:hAnsi="Arial" w:cs="Arial"/>
      </w:rPr>
      <w:instrText xml:space="preserve">PAGE  </w:instrText>
    </w:r>
    <w:r w:rsidRPr="00F7640D">
      <w:rPr>
        <w:rStyle w:val="PageNumber"/>
        <w:rFonts w:ascii="Arial" w:hAnsi="Arial" w:cs="Arial"/>
      </w:rPr>
      <w:fldChar w:fldCharType="separate"/>
    </w:r>
    <w:r w:rsidRPr="00F7640D">
      <w:rPr>
        <w:rStyle w:val="PageNumber"/>
        <w:rFonts w:ascii="Arial" w:hAnsi="Arial" w:cs="Arial"/>
        <w:noProof/>
      </w:rPr>
      <w:t>3</w:t>
    </w:r>
    <w:r w:rsidRPr="00F7640D">
      <w:rPr>
        <w:rStyle w:val="PageNumber"/>
        <w:rFonts w:ascii="Arial" w:hAnsi="Arial" w:cs="Arial"/>
      </w:rPr>
      <w:fldChar w:fldCharType="end"/>
    </w:r>
  </w:p>
  <w:p w14:paraId="1885F293" w14:textId="77777777" w:rsidR="00E0465F" w:rsidRPr="00F7640D" w:rsidRDefault="00E0465F" w:rsidP="00E0465F">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857B" w14:textId="77777777" w:rsidR="007351DA" w:rsidRPr="007351DA" w:rsidRDefault="007351DA" w:rsidP="00E81735">
    <w:pPr>
      <w:pStyle w:val="Footer"/>
      <w:framePr w:wrap="none" w:vAnchor="text" w:hAnchor="margin" w:xAlign="right" w:y="1"/>
      <w:rPr>
        <w:rStyle w:val="PageNumber"/>
      </w:rPr>
    </w:pPr>
    <w:r w:rsidRPr="007351DA">
      <w:rPr>
        <w:rStyle w:val="PageNumber"/>
      </w:rPr>
      <w:fldChar w:fldCharType="begin"/>
    </w:r>
    <w:r w:rsidRPr="007351DA">
      <w:rPr>
        <w:rStyle w:val="PageNumber"/>
      </w:rPr>
      <w:instrText xml:space="preserve">PAGE  </w:instrText>
    </w:r>
    <w:r w:rsidRPr="007351DA">
      <w:rPr>
        <w:rStyle w:val="PageNumber"/>
      </w:rPr>
      <w:fldChar w:fldCharType="separate"/>
    </w:r>
    <w:r w:rsidR="00E0465F">
      <w:rPr>
        <w:rStyle w:val="PageNumber"/>
        <w:noProof/>
      </w:rPr>
      <w:t>1</w:t>
    </w:r>
    <w:r w:rsidRPr="007351DA">
      <w:rPr>
        <w:rStyle w:val="PageNumber"/>
      </w:rPr>
      <w:fldChar w:fldCharType="end"/>
    </w:r>
  </w:p>
  <w:p w14:paraId="6210ACEE" w14:textId="0B67B518" w:rsidR="007351DA" w:rsidRPr="00F7640D" w:rsidRDefault="007351DA" w:rsidP="007351DA">
    <w:pPr>
      <w:pStyle w:val="Footer"/>
      <w:ind w:right="360"/>
      <w:rPr>
        <w:rFonts w:ascii="Arial" w:hAnsi="Arial" w:cs="Arial"/>
      </w:rPr>
    </w:pPr>
    <w:r w:rsidRPr="00F7640D">
      <w:rPr>
        <w:rFonts w:ascii="Arial" w:hAnsi="Arial" w:cs="Arial"/>
        <w:i/>
      </w:rPr>
      <w:t>*</w:t>
    </w:r>
    <w:r w:rsidR="002D6AC4">
      <w:rPr>
        <w:rFonts w:ascii="Arial" w:hAnsi="Arial" w:cs="Arial"/>
        <w:i/>
      </w:rPr>
      <w:t>kkurtis@gatech.edu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63126" w14:textId="77777777" w:rsidR="00330481" w:rsidRDefault="00330481">
      <w:r>
        <w:separator/>
      </w:r>
    </w:p>
  </w:footnote>
  <w:footnote w:type="continuationSeparator" w:id="0">
    <w:p w14:paraId="2659ED34" w14:textId="77777777" w:rsidR="00330481" w:rsidRDefault="00330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71BB" w14:textId="73CB75F8" w:rsidR="00F7640D" w:rsidRDefault="00F7640D">
    <w:pPr>
      <w:pStyle w:val="Header"/>
    </w:pPr>
    <w:r w:rsidRPr="00974929">
      <w:rPr>
        <w:noProof/>
      </w:rPr>
      <w:drawing>
        <wp:inline distT="0" distB="0" distL="0" distR="0" wp14:anchorId="5F79B26A" wp14:editId="586D810F">
          <wp:extent cx="3884531" cy="1203125"/>
          <wp:effectExtent l="0" t="0" r="1905" b="3810"/>
          <wp:docPr id="7" name="Picture 1" descr="A close-up of a logo&#10;&#10;Description automatically generated">
            <a:extLst xmlns:a="http://schemas.openxmlformats.org/drawingml/2006/main">
              <a:ext uri="{FF2B5EF4-FFF2-40B4-BE49-F238E27FC236}">
                <a16:creationId xmlns:a16="http://schemas.microsoft.com/office/drawing/2014/main" id="{B71F3E7E-96DE-A587-CBC2-B375ED8BC6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 close-up of a logo&#10;&#10;Description automatically generated">
                    <a:extLst>
                      <a:ext uri="{FF2B5EF4-FFF2-40B4-BE49-F238E27FC236}">
                        <a16:creationId xmlns:a16="http://schemas.microsoft.com/office/drawing/2014/main" id="{B71F3E7E-96DE-A587-CBC2-B375ED8BC6CB}"/>
                      </a:ext>
                    </a:extLst>
                  </pic:cNvPr>
                  <pic:cNvPicPr>
                    <a:picLocks noChangeAspect="1"/>
                  </pic:cNvPicPr>
                </pic:nvPicPr>
                <pic:blipFill>
                  <a:blip r:embed="rId1"/>
                  <a:stretch>
                    <a:fillRect/>
                  </a:stretch>
                </pic:blipFill>
                <pic:spPr>
                  <a:xfrm>
                    <a:off x="0" y="0"/>
                    <a:ext cx="3926251" cy="12160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F6F29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2" w15:restartNumberingAfterBreak="0">
    <w:nsid w:val="0B0F5DC3"/>
    <w:multiLevelType w:val="hybridMultilevel"/>
    <w:tmpl w:val="9B5210B2"/>
    <w:lvl w:ilvl="0" w:tplc="1EF4ED46">
      <w:start w:val="1"/>
      <w:numFmt w:val="decimal"/>
      <w:pStyle w:val="EndnoteText"/>
      <w:lvlText w:val="[%1]"/>
      <w:lvlJc w:val="left"/>
      <w:pPr>
        <w:tabs>
          <w:tab w:val="num" w:pos="567"/>
        </w:tabs>
        <w:ind w:left="567" w:hanging="567"/>
      </w:pPr>
      <w:rPr>
        <w:rFonts w:ascii="Garamond" w:hAnsi="Garamond"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4C7DB6"/>
    <w:multiLevelType w:val="hybridMultilevel"/>
    <w:tmpl w:val="F3BE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E6625"/>
    <w:multiLevelType w:val="hybridMultilevel"/>
    <w:tmpl w:val="3446E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B1A"/>
    <w:multiLevelType w:val="hybridMultilevel"/>
    <w:tmpl w:val="C9CAD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56EE7"/>
    <w:multiLevelType w:val="hybridMultilevel"/>
    <w:tmpl w:val="C8D4F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935FF"/>
    <w:multiLevelType w:val="hybridMultilevel"/>
    <w:tmpl w:val="77C4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402F8"/>
    <w:multiLevelType w:val="hybridMultilevel"/>
    <w:tmpl w:val="4B7AF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069C0"/>
    <w:multiLevelType w:val="hybridMultilevel"/>
    <w:tmpl w:val="4C780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AE452B"/>
    <w:multiLevelType w:val="multilevel"/>
    <w:tmpl w:val="AD701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2915738">
    <w:abstractNumId w:val="1"/>
  </w:num>
  <w:num w:numId="2" w16cid:durableId="450326837">
    <w:abstractNumId w:val="2"/>
  </w:num>
  <w:num w:numId="3" w16cid:durableId="1172454485">
    <w:abstractNumId w:val="3"/>
  </w:num>
  <w:num w:numId="4" w16cid:durableId="192378722">
    <w:abstractNumId w:val="8"/>
  </w:num>
  <w:num w:numId="5" w16cid:durableId="390269958">
    <w:abstractNumId w:val="5"/>
  </w:num>
  <w:num w:numId="6" w16cid:durableId="2058897220">
    <w:abstractNumId w:val="6"/>
  </w:num>
  <w:num w:numId="7" w16cid:durableId="286277593">
    <w:abstractNumId w:val="7"/>
  </w:num>
  <w:num w:numId="8" w16cid:durableId="1064259987">
    <w:abstractNumId w:val="9"/>
  </w:num>
  <w:num w:numId="9" w16cid:durableId="1075131450">
    <w:abstractNumId w:val="10"/>
  </w:num>
  <w:num w:numId="10" w16cid:durableId="222257132">
    <w:abstractNumId w:val="4"/>
  </w:num>
  <w:num w:numId="11" w16cid:durableId="1503352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 ICAA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sd95w9zwrr0vieardsxder30faetpx9wsev&quot;&gt;NSFCAREER_2012&lt;record-ids&gt;&lt;item&gt;108&lt;/item&gt;&lt;item&gt;153&lt;/item&gt;&lt;item&gt;154&lt;/item&gt;&lt;item&gt;156&lt;/item&gt;&lt;item&gt;157&lt;/item&gt;&lt;item&gt;158&lt;/item&gt;&lt;item&gt;681&lt;/item&gt;&lt;item&gt;932&lt;/item&gt;&lt;item&gt;936&lt;/item&gt;&lt;item&gt;1080&lt;/item&gt;&lt;item&gt;1081&lt;/item&gt;&lt;item&gt;1082&lt;/item&gt;&lt;item&gt;1084&lt;/item&gt;&lt;item&gt;1085&lt;/item&gt;&lt;item&gt;1086&lt;/item&gt;&lt;item&gt;1105&lt;/item&gt;&lt;/record-ids&gt;&lt;/item&gt;&lt;/Libraries&gt;"/>
  </w:docVars>
  <w:rsids>
    <w:rsidRoot w:val="00B54572"/>
    <w:rsid w:val="0000756D"/>
    <w:rsid w:val="000301C9"/>
    <w:rsid w:val="000327C8"/>
    <w:rsid w:val="00042E33"/>
    <w:rsid w:val="0005053E"/>
    <w:rsid w:val="000553CD"/>
    <w:rsid w:val="00055962"/>
    <w:rsid w:val="00074282"/>
    <w:rsid w:val="0008697E"/>
    <w:rsid w:val="0009331D"/>
    <w:rsid w:val="000973EB"/>
    <w:rsid w:val="000B6B97"/>
    <w:rsid w:val="000E5095"/>
    <w:rsid w:val="000E6EDE"/>
    <w:rsid w:val="000F1661"/>
    <w:rsid w:val="000F18C0"/>
    <w:rsid w:val="000F2C3F"/>
    <w:rsid w:val="000F52AE"/>
    <w:rsid w:val="00101B11"/>
    <w:rsid w:val="00107414"/>
    <w:rsid w:val="00111E00"/>
    <w:rsid w:val="00116039"/>
    <w:rsid w:val="00122E0B"/>
    <w:rsid w:val="001410E4"/>
    <w:rsid w:val="00151202"/>
    <w:rsid w:val="0015621B"/>
    <w:rsid w:val="00157720"/>
    <w:rsid w:val="001579E0"/>
    <w:rsid w:val="0016550C"/>
    <w:rsid w:val="00170AF3"/>
    <w:rsid w:val="00174021"/>
    <w:rsid w:val="001868A5"/>
    <w:rsid w:val="001A5DD0"/>
    <w:rsid w:val="001B4FE3"/>
    <w:rsid w:val="001B62CB"/>
    <w:rsid w:val="001C0021"/>
    <w:rsid w:val="001C41D0"/>
    <w:rsid w:val="001C51E6"/>
    <w:rsid w:val="001D1CBD"/>
    <w:rsid w:val="001E1C0A"/>
    <w:rsid w:val="001E2EA4"/>
    <w:rsid w:val="001E33E8"/>
    <w:rsid w:val="001E6905"/>
    <w:rsid w:val="00215CEE"/>
    <w:rsid w:val="00216DA1"/>
    <w:rsid w:val="002478F6"/>
    <w:rsid w:val="0025626A"/>
    <w:rsid w:val="00266008"/>
    <w:rsid w:val="002709B6"/>
    <w:rsid w:val="002725BE"/>
    <w:rsid w:val="00280755"/>
    <w:rsid w:val="0029759A"/>
    <w:rsid w:val="002A72C2"/>
    <w:rsid w:val="002B0488"/>
    <w:rsid w:val="002B30CA"/>
    <w:rsid w:val="002D6AC4"/>
    <w:rsid w:val="002D6C58"/>
    <w:rsid w:val="002E052C"/>
    <w:rsid w:val="00303009"/>
    <w:rsid w:val="003152AA"/>
    <w:rsid w:val="0031575D"/>
    <w:rsid w:val="003213D4"/>
    <w:rsid w:val="00330481"/>
    <w:rsid w:val="00341241"/>
    <w:rsid w:val="00343FFB"/>
    <w:rsid w:val="003470C2"/>
    <w:rsid w:val="00347739"/>
    <w:rsid w:val="003509DE"/>
    <w:rsid w:val="00351528"/>
    <w:rsid w:val="003579EF"/>
    <w:rsid w:val="003810E9"/>
    <w:rsid w:val="00387368"/>
    <w:rsid w:val="00387AF6"/>
    <w:rsid w:val="003A0FAF"/>
    <w:rsid w:val="003A178B"/>
    <w:rsid w:val="003B5741"/>
    <w:rsid w:val="003C0D0B"/>
    <w:rsid w:val="003F1041"/>
    <w:rsid w:val="00404AA7"/>
    <w:rsid w:val="00413D8B"/>
    <w:rsid w:val="00416527"/>
    <w:rsid w:val="00441C59"/>
    <w:rsid w:val="00442CAB"/>
    <w:rsid w:val="00454153"/>
    <w:rsid w:val="00462BEA"/>
    <w:rsid w:val="0046690D"/>
    <w:rsid w:val="00473319"/>
    <w:rsid w:val="00490F1A"/>
    <w:rsid w:val="00493FBC"/>
    <w:rsid w:val="004A4E20"/>
    <w:rsid w:val="004B69F2"/>
    <w:rsid w:val="004C0148"/>
    <w:rsid w:val="004C57FC"/>
    <w:rsid w:val="004D00B1"/>
    <w:rsid w:val="004D0162"/>
    <w:rsid w:val="004D066D"/>
    <w:rsid w:val="004F075F"/>
    <w:rsid w:val="004F3333"/>
    <w:rsid w:val="00504820"/>
    <w:rsid w:val="00520339"/>
    <w:rsid w:val="0052400E"/>
    <w:rsid w:val="005342FC"/>
    <w:rsid w:val="00535860"/>
    <w:rsid w:val="0053655A"/>
    <w:rsid w:val="00540404"/>
    <w:rsid w:val="005537E5"/>
    <w:rsid w:val="005618CD"/>
    <w:rsid w:val="00561CBF"/>
    <w:rsid w:val="00586F36"/>
    <w:rsid w:val="005934A5"/>
    <w:rsid w:val="005A6773"/>
    <w:rsid w:val="005D6495"/>
    <w:rsid w:val="005F13A1"/>
    <w:rsid w:val="00606D30"/>
    <w:rsid w:val="0060786E"/>
    <w:rsid w:val="0061565E"/>
    <w:rsid w:val="00622EF0"/>
    <w:rsid w:val="00631488"/>
    <w:rsid w:val="00634EAD"/>
    <w:rsid w:val="00635E82"/>
    <w:rsid w:val="00636DAA"/>
    <w:rsid w:val="00637698"/>
    <w:rsid w:val="00642C6B"/>
    <w:rsid w:val="00645227"/>
    <w:rsid w:val="006538B1"/>
    <w:rsid w:val="006608E6"/>
    <w:rsid w:val="0069049F"/>
    <w:rsid w:val="00693D56"/>
    <w:rsid w:val="006C451C"/>
    <w:rsid w:val="006D2FE0"/>
    <w:rsid w:val="006D3FB1"/>
    <w:rsid w:val="006F3D70"/>
    <w:rsid w:val="00700B9F"/>
    <w:rsid w:val="007232A5"/>
    <w:rsid w:val="00727D21"/>
    <w:rsid w:val="00730A20"/>
    <w:rsid w:val="00730E9B"/>
    <w:rsid w:val="0073383D"/>
    <w:rsid w:val="007351DA"/>
    <w:rsid w:val="00751147"/>
    <w:rsid w:val="00752EB4"/>
    <w:rsid w:val="00753F25"/>
    <w:rsid w:val="00754A8C"/>
    <w:rsid w:val="00755A3A"/>
    <w:rsid w:val="007715AA"/>
    <w:rsid w:val="00772867"/>
    <w:rsid w:val="00777CB4"/>
    <w:rsid w:val="00785336"/>
    <w:rsid w:val="007A3313"/>
    <w:rsid w:val="007A49D6"/>
    <w:rsid w:val="007B3FFD"/>
    <w:rsid w:val="007F4131"/>
    <w:rsid w:val="007F484B"/>
    <w:rsid w:val="007F639E"/>
    <w:rsid w:val="007F6A07"/>
    <w:rsid w:val="00822AC6"/>
    <w:rsid w:val="0082626F"/>
    <w:rsid w:val="008479FA"/>
    <w:rsid w:val="00870165"/>
    <w:rsid w:val="00880550"/>
    <w:rsid w:val="00884CB2"/>
    <w:rsid w:val="0088746E"/>
    <w:rsid w:val="008A60F2"/>
    <w:rsid w:val="008B09DF"/>
    <w:rsid w:val="008B0F90"/>
    <w:rsid w:val="008B22A5"/>
    <w:rsid w:val="008D21F8"/>
    <w:rsid w:val="008D676A"/>
    <w:rsid w:val="008E399A"/>
    <w:rsid w:val="00910106"/>
    <w:rsid w:val="00911A12"/>
    <w:rsid w:val="00926EF3"/>
    <w:rsid w:val="00927B62"/>
    <w:rsid w:val="00941DDD"/>
    <w:rsid w:val="00943D68"/>
    <w:rsid w:val="00945603"/>
    <w:rsid w:val="009509E1"/>
    <w:rsid w:val="00955A1C"/>
    <w:rsid w:val="00955E08"/>
    <w:rsid w:val="00973426"/>
    <w:rsid w:val="00981E30"/>
    <w:rsid w:val="009C70A5"/>
    <w:rsid w:val="009C7F31"/>
    <w:rsid w:val="009D44D5"/>
    <w:rsid w:val="009D5434"/>
    <w:rsid w:val="009E4E2A"/>
    <w:rsid w:val="009F33DC"/>
    <w:rsid w:val="00A25C0F"/>
    <w:rsid w:val="00A453A4"/>
    <w:rsid w:val="00A50BFD"/>
    <w:rsid w:val="00A51FCE"/>
    <w:rsid w:val="00A64C69"/>
    <w:rsid w:val="00A966B5"/>
    <w:rsid w:val="00AA6830"/>
    <w:rsid w:val="00AB4736"/>
    <w:rsid w:val="00AC1B33"/>
    <w:rsid w:val="00AC669F"/>
    <w:rsid w:val="00AE2073"/>
    <w:rsid w:val="00AE5C89"/>
    <w:rsid w:val="00AE60A6"/>
    <w:rsid w:val="00AF15E6"/>
    <w:rsid w:val="00B012A1"/>
    <w:rsid w:val="00B044C5"/>
    <w:rsid w:val="00B17625"/>
    <w:rsid w:val="00B21D1D"/>
    <w:rsid w:val="00B54572"/>
    <w:rsid w:val="00B81B2B"/>
    <w:rsid w:val="00B82781"/>
    <w:rsid w:val="00B87129"/>
    <w:rsid w:val="00BA435E"/>
    <w:rsid w:val="00BB5BA0"/>
    <w:rsid w:val="00BC2040"/>
    <w:rsid w:val="00BE3F80"/>
    <w:rsid w:val="00BF3F8D"/>
    <w:rsid w:val="00C04ED6"/>
    <w:rsid w:val="00C109CA"/>
    <w:rsid w:val="00C16410"/>
    <w:rsid w:val="00C37261"/>
    <w:rsid w:val="00C379C2"/>
    <w:rsid w:val="00C405D4"/>
    <w:rsid w:val="00C447BF"/>
    <w:rsid w:val="00C524ED"/>
    <w:rsid w:val="00C52CA8"/>
    <w:rsid w:val="00C63267"/>
    <w:rsid w:val="00C709A8"/>
    <w:rsid w:val="00C74619"/>
    <w:rsid w:val="00C74AE2"/>
    <w:rsid w:val="00C97753"/>
    <w:rsid w:val="00CA5D6B"/>
    <w:rsid w:val="00CA6F53"/>
    <w:rsid w:val="00CC5D09"/>
    <w:rsid w:val="00CD3B01"/>
    <w:rsid w:val="00CD72CC"/>
    <w:rsid w:val="00CE2BC8"/>
    <w:rsid w:val="00CE76CA"/>
    <w:rsid w:val="00CF3311"/>
    <w:rsid w:val="00D13D92"/>
    <w:rsid w:val="00D17602"/>
    <w:rsid w:val="00D33966"/>
    <w:rsid w:val="00D41ECA"/>
    <w:rsid w:val="00D432E1"/>
    <w:rsid w:val="00D91E28"/>
    <w:rsid w:val="00DA0E47"/>
    <w:rsid w:val="00DA6882"/>
    <w:rsid w:val="00DB1225"/>
    <w:rsid w:val="00DB20E1"/>
    <w:rsid w:val="00DB4AE0"/>
    <w:rsid w:val="00DD28C8"/>
    <w:rsid w:val="00DE13C1"/>
    <w:rsid w:val="00E0023D"/>
    <w:rsid w:val="00E0237A"/>
    <w:rsid w:val="00E03531"/>
    <w:rsid w:val="00E0465F"/>
    <w:rsid w:val="00E10E23"/>
    <w:rsid w:val="00E13C26"/>
    <w:rsid w:val="00E238E6"/>
    <w:rsid w:val="00E24A30"/>
    <w:rsid w:val="00E4098E"/>
    <w:rsid w:val="00E43CEE"/>
    <w:rsid w:val="00E57B0F"/>
    <w:rsid w:val="00E66553"/>
    <w:rsid w:val="00E7303B"/>
    <w:rsid w:val="00E73A2F"/>
    <w:rsid w:val="00E811D1"/>
    <w:rsid w:val="00E83ECE"/>
    <w:rsid w:val="00E95094"/>
    <w:rsid w:val="00EA1F5E"/>
    <w:rsid w:val="00EA3B1D"/>
    <w:rsid w:val="00EB0C4B"/>
    <w:rsid w:val="00EB3B7F"/>
    <w:rsid w:val="00EB6008"/>
    <w:rsid w:val="00EB7C32"/>
    <w:rsid w:val="00EC0456"/>
    <w:rsid w:val="00ED1E08"/>
    <w:rsid w:val="00ED6383"/>
    <w:rsid w:val="00EE2D86"/>
    <w:rsid w:val="00EF2CA6"/>
    <w:rsid w:val="00EF58FC"/>
    <w:rsid w:val="00F203C5"/>
    <w:rsid w:val="00F622C9"/>
    <w:rsid w:val="00F6764E"/>
    <w:rsid w:val="00F7640D"/>
    <w:rsid w:val="00F85F51"/>
    <w:rsid w:val="00F90DD1"/>
    <w:rsid w:val="00FA3D3A"/>
    <w:rsid w:val="00FB5293"/>
    <w:rsid w:val="00FC1ABA"/>
    <w:rsid w:val="00FD3BB0"/>
    <w:rsid w:val="00FF5D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9E7B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51DA"/>
    <w:rPr>
      <w:sz w:val="24"/>
      <w:lang w:val="en-US" w:eastAsia="en-US"/>
    </w:rPr>
  </w:style>
  <w:style w:type="paragraph" w:styleId="Heading1">
    <w:name w:val="heading 1"/>
    <w:basedOn w:val="Normal"/>
    <w:next w:val="Normal"/>
    <w:link w:val="Heading1Char"/>
    <w:uiPriority w:val="9"/>
    <w:qFormat/>
    <w:rsid w:val="00F7640D"/>
    <w:pPr>
      <w:keepNext/>
      <w:keepLines/>
      <w:spacing w:before="120"/>
      <w:jc w:val="center"/>
      <w:outlineLvl w:val="0"/>
    </w:pPr>
    <w:rPr>
      <w:rFonts w:ascii="Arial" w:eastAsiaTheme="majorEastAsia" w:hAnsi="Arial" w:cstheme="majorBidi"/>
      <w:b/>
      <w:caps/>
      <w:color w:val="000000" w:themeColor="text1"/>
      <w:sz w:val="28"/>
      <w:szCs w:val="32"/>
      <w:lang w:val="en-GB"/>
    </w:rPr>
  </w:style>
  <w:style w:type="paragraph" w:styleId="Heading2">
    <w:name w:val="heading 2"/>
    <w:basedOn w:val="Normal"/>
    <w:next w:val="Normal"/>
    <w:link w:val="Heading2Char"/>
    <w:uiPriority w:val="9"/>
    <w:unhideWhenUsed/>
    <w:qFormat/>
    <w:rsid w:val="00F7640D"/>
    <w:pPr>
      <w:keepNext/>
      <w:keepLines/>
      <w:jc w:val="center"/>
      <w:outlineLvl w:val="1"/>
    </w:pPr>
    <w:rPr>
      <w:rFonts w:ascii="Arial" w:eastAsiaTheme="majorEastAsia" w:hAnsi="Arial" w:cstheme="majorBidi"/>
      <w:b/>
      <w:color w:val="000000" w:themeColor="text1"/>
      <w:szCs w:val="26"/>
    </w:rPr>
  </w:style>
  <w:style w:type="paragraph" w:styleId="Heading3">
    <w:name w:val="heading 3"/>
    <w:basedOn w:val="Normal"/>
    <w:next w:val="Normal"/>
    <w:link w:val="Heading3Char"/>
    <w:uiPriority w:val="9"/>
    <w:unhideWhenUsed/>
    <w:qFormat/>
    <w:rsid w:val="00F7640D"/>
    <w:pPr>
      <w:keepNext/>
      <w:keepLines/>
      <w:spacing w:before="40"/>
      <w:outlineLvl w:val="2"/>
    </w:pPr>
    <w:rPr>
      <w:rFonts w:ascii="Arial" w:eastAsiaTheme="majorEastAsia" w:hAnsi="Arial" w:cstheme="majorBidi"/>
      <w:b/>
      <w:color w:val="000000" w:themeColor="text1"/>
      <w:szCs w:val="24"/>
    </w:rPr>
  </w:style>
  <w:style w:type="paragraph" w:styleId="Heading4">
    <w:name w:val="heading 4"/>
    <w:basedOn w:val="Normal"/>
    <w:next w:val="Normal"/>
    <w:link w:val="Heading4Char"/>
    <w:uiPriority w:val="9"/>
    <w:unhideWhenUsed/>
    <w:qFormat/>
    <w:rsid w:val="00F7640D"/>
    <w:pPr>
      <w:keepNext/>
      <w:keepLines/>
      <w:spacing w:before="40"/>
      <w:outlineLvl w:val="3"/>
    </w:pPr>
    <w:rPr>
      <w:rFonts w:ascii="Arial" w:eastAsiaTheme="majorEastAsia" w:hAnsi="Arial" w:cstheme="majorBidi"/>
      <w:iCs/>
      <w:color w:val="000000" w:themeColor="text1"/>
      <w:u w:val="single"/>
    </w:rPr>
  </w:style>
  <w:style w:type="paragraph" w:styleId="Heading5">
    <w:name w:val="heading 5"/>
    <w:basedOn w:val="Normal"/>
    <w:next w:val="Normal"/>
    <w:link w:val="Heading5Char"/>
    <w:uiPriority w:val="9"/>
    <w:unhideWhenUsed/>
    <w:qFormat/>
    <w:rsid w:val="00F7640D"/>
    <w:pPr>
      <w:keepNext/>
      <w:keepLines/>
      <w:spacing w:before="40"/>
      <w:outlineLvl w:val="4"/>
    </w:pPr>
    <w:rPr>
      <w:rFonts w:ascii="Arial" w:eastAsiaTheme="majorEastAsia" w:hAnsi="Arial" w:cstheme="majorBidi"/>
      <w:i/>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7720"/>
    <w:rPr>
      <w:color w:val="0000FF" w:themeColor="hyperlink"/>
      <w:u w:val="single"/>
    </w:rPr>
  </w:style>
  <w:style w:type="paragraph" w:customStyle="1" w:styleId="Legal1">
    <w:name w:val="Legal 1"/>
    <w:basedOn w:val="Normal"/>
    <w:rsid w:val="009509E1"/>
    <w:pPr>
      <w:widowControl w:val="0"/>
    </w:pPr>
  </w:style>
  <w:style w:type="paragraph" w:customStyle="1" w:styleId="Legal2">
    <w:name w:val="Legal 2"/>
    <w:basedOn w:val="Normal"/>
    <w:rsid w:val="009509E1"/>
    <w:pPr>
      <w:widowControl w:val="0"/>
    </w:pPr>
  </w:style>
  <w:style w:type="paragraph" w:customStyle="1" w:styleId="Legal3">
    <w:name w:val="Legal 3"/>
    <w:basedOn w:val="Normal"/>
    <w:rsid w:val="009509E1"/>
    <w:pPr>
      <w:widowControl w:val="0"/>
    </w:pPr>
  </w:style>
  <w:style w:type="paragraph" w:customStyle="1" w:styleId="Legal4">
    <w:name w:val="Legal 4"/>
    <w:basedOn w:val="Normal"/>
    <w:rsid w:val="009509E1"/>
    <w:pPr>
      <w:widowControl w:val="0"/>
    </w:pPr>
  </w:style>
  <w:style w:type="paragraph" w:customStyle="1" w:styleId="Legal5">
    <w:name w:val="Legal 5"/>
    <w:basedOn w:val="Normal"/>
    <w:rsid w:val="009509E1"/>
    <w:pPr>
      <w:widowControl w:val="0"/>
    </w:pPr>
  </w:style>
  <w:style w:type="paragraph" w:customStyle="1" w:styleId="Legal6">
    <w:name w:val="Legal 6"/>
    <w:basedOn w:val="Normal"/>
    <w:rsid w:val="009509E1"/>
    <w:pPr>
      <w:widowControl w:val="0"/>
    </w:pPr>
  </w:style>
  <w:style w:type="paragraph" w:customStyle="1" w:styleId="Legal7">
    <w:name w:val="Legal 7"/>
    <w:basedOn w:val="Normal"/>
    <w:rsid w:val="009509E1"/>
    <w:pPr>
      <w:widowControl w:val="0"/>
    </w:pPr>
  </w:style>
  <w:style w:type="paragraph" w:customStyle="1" w:styleId="Legal8">
    <w:name w:val="Legal 8"/>
    <w:basedOn w:val="Normal"/>
    <w:rsid w:val="009509E1"/>
    <w:pPr>
      <w:widowControl w:val="0"/>
    </w:pPr>
  </w:style>
  <w:style w:type="paragraph" w:customStyle="1" w:styleId="Legal9">
    <w:name w:val="Legal 9"/>
    <w:basedOn w:val="Normal"/>
    <w:rsid w:val="009509E1"/>
    <w:pPr>
      <w:widowControl w:val="0"/>
    </w:pPr>
  </w:style>
  <w:style w:type="paragraph" w:styleId="FootnoteText">
    <w:name w:val="footnote text"/>
    <w:basedOn w:val="Normal"/>
    <w:semiHidden/>
    <w:rsid w:val="009509E1"/>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pPr>
  </w:style>
  <w:style w:type="character" w:styleId="FootnoteReference">
    <w:name w:val="footnote reference"/>
    <w:basedOn w:val="DefaultParagraphFont"/>
    <w:semiHidden/>
    <w:rsid w:val="009509E1"/>
    <w:rPr>
      <w:vertAlign w:val="superscript"/>
    </w:rPr>
  </w:style>
  <w:style w:type="character" w:styleId="EndnoteReference">
    <w:name w:val="endnote reference"/>
    <w:basedOn w:val="DefaultParagraphFont"/>
    <w:semiHidden/>
    <w:rsid w:val="009509E1"/>
  </w:style>
  <w:style w:type="paragraph" w:styleId="EndnoteText">
    <w:name w:val="endnote text"/>
    <w:basedOn w:val="Normal"/>
    <w:link w:val="EndnoteTextChar"/>
    <w:semiHidden/>
    <w:rsid w:val="009509E1"/>
    <w:pPr>
      <w:numPr>
        <w:numId w:val="2"/>
      </w:numPr>
      <w:jc w:val="both"/>
    </w:pPr>
    <w:rPr>
      <w:rFonts w:ascii="Garamond" w:hAnsi="Garamond"/>
      <w:sz w:val="20"/>
      <w:lang w:val="en-GB"/>
    </w:rPr>
  </w:style>
  <w:style w:type="character" w:customStyle="1" w:styleId="SYSHYPERTEXT">
    <w:name w:val="SYS_HYPERTEXT"/>
    <w:basedOn w:val="DefaultParagraphFont"/>
    <w:rsid w:val="009509E1"/>
    <w:rPr>
      <w:color w:val="0000FF"/>
      <w:u w:val="single"/>
    </w:rPr>
  </w:style>
  <w:style w:type="character" w:customStyle="1" w:styleId="EndnoteTextChar">
    <w:name w:val="Endnote Text Char"/>
    <w:basedOn w:val="DefaultParagraphFont"/>
    <w:link w:val="EndnoteText"/>
    <w:semiHidden/>
    <w:rsid w:val="00157720"/>
    <w:rPr>
      <w:rFonts w:ascii="Garamond" w:hAnsi="Garamond"/>
      <w:lang w:val="en-GB" w:eastAsia="en-US"/>
    </w:rPr>
  </w:style>
  <w:style w:type="paragraph" w:styleId="BalloonText">
    <w:name w:val="Balloon Text"/>
    <w:basedOn w:val="Normal"/>
    <w:link w:val="BalloonTextChar"/>
    <w:uiPriority w:val="99"/>
    <w:semiHidden/>
    <w:unhideWhenUsed/>
    <w:rsid w:val="00157720"/>
    <w:rPr>
      <w:rFonts w:ascii="Tahoma" w:hAnsi="Tahoma" w:cs="Tahoma"/>
      <w:sz w:val="16"/>
      <w:szCs w:val="16"/>
    </w:rPr>
  </w:style>
  <w:style w:type="character" w:customStyle="1" w:styleId="BalloonTextChar">
    <w:name w:val="Balloon Text Char"/>
    <w:basedOn w:val="DefaultParagraphFont"/>
    <w:link w:val="BalloonText"/>
    <w:uiPriority w:val="99"/>
    <w:semiHidden/>
    <w:rsid w:val="00157720"/>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351528"/>
    <w:rPr>
      <w:sz w:val="16"/>
      <w:szCs w:val="16"/>
    </w:rPr>
  </w:style>
  <w:style w:type="paragraph" w:styleId="CommentText">
    <w:name w:val="annotation text"/>
    <w:basedOn w:val="Normal"/>
    <w:link w:val="CommentTextChar"/>
    <w:uiPriority w:val="99"/>
    <w:semiHidden/>
    <w:unhideWhenUsed/>
    <w:rsid w:val="00351528"/>
    <w:rPr>
      <w:sz w:val="20"/>
    </w:rPr>
  </w:style>
  <w:style w:type="character" w:customStyle="1" w:styleId="CommentTextChar">
    <w:name w:val="Comment Text Char"/>
    <w:basedOn w:val="DefaultParagraphFont"/>
    <w:link w:val="CommentText"/>
    <w:uiPriority w:val="99"/>
    <w:semiHidden/>
    <w:rsid w:val="00351528"/>
    <w:rPr>
      <w:lang w:val="en-US" w:eastAsia="en-US"/>
    </w:rPr>
  </w:style>
  <w:style w:type="paragraph" w:styleId="CommentSubject">
    <w:name w:val="annotation subject"/>
    <w:basedOn w:val="CommentText"/>
    <w:next w:val="CommentText"/>
    <w:link w:val="CommentSubjectChar"/>
    <w:uiPriority w:val="99"/>
    <w:semiHidden/>
    <w:unhideWhenUsed/>
    <w:rsid w:val="00351528"/>
    <w:rPr>
      <w:b/>
      <w:bCs/>
    </w:rPr>
  </w:style>
  <w:style w:type="character" w:customStyle="1" w:styleId="CommentSubjectChar">
    <w:name w:val="Comment Subject Char"/>
    <w:basedOn w:val="CommentTextChar"/>
    <w:link w:val="CommentSubject"/>
    <w:uiPriority w:val="99"/>
    <w:semiHidden/>
    <w:rsid w:val="00351528"/>
    <w:rPr>
      <w:b/>
      <w:bCs/>
      <w:lang w:val="en-US" w:eastAsia="en-US"/>
    </w:rPr>
  </w:style>
  <w:style w:type="paragraph" w:customStyle="1" w:styleId="EndNoteBibliographyTitle">
    <w:name w:val="EndNote Bibliography Title"/>
    <w:basedOn w:val="Normal"/>
    <w:rsid w:val="001D1CBD"/>
    <w:pPr>
      <w:jc w:val="center"/>
    </w:pPr>
  </w:style>
  <w:style w:type="paragraph" w:customStyle="1" w:styleId="EndNoteBibliography">
    <w:name w:val="EndNote Bibliography"/>
    <w:basedOn w:val="Normal"/>
    <w:rsid w:val="001D1CBD"/>
    <w:pPr>
      <w:jc w:val="both"/>
    </w:pPr>
  </w:style>
  <w:style w:type="paragraph" w:styleId="ListParagraph">
    <w:name w:val="List Paragraph"/>
    <w:basedOn w:val="Normal"/>
    <w:uiPriority w:val="34"/>
    <w:qFormat/>
    <w:rsid w:val="00E57B0F"/>
    <w:pPr>
      <w:ind w:left="720"/>
      <w:contextualSpacing/>
    </w:pPr>
  </w:style>
  <w:style w:type="paragraph" w:styleId="Caption">
    <w:name w:val="caption"/>
    <w:basedOn w:val="Normal"/>
    <w:next w:val="Normal"/>
    <w:uiPriority w:val="35"/>
    <w:unhideWhenUsed/>
    <w:qFormat/>
    <w:rsid w:val="00F7640D"/>
    <w:pPr>
      <w:spacing w:after="200"/>
      <w:jc w:val="center"/>
    </w:pPr>
    <w:rPr>
      <w:rFonts w:ascii="Arial" w:hAnsi="Arial" w:cs="Arial"/>
      <w:bCs/>
      <w:color w:val="000000"/>
      <w:sz w:val="20"/>
      <w:szCs w:val="28"/>
    </w:rPr>
  </w:style>
  <w:style w:type="paragraph" w:styleId="Header">
    <w:name w:val="header"/>
    <w:basedOn w:val="Normal"/>
    <w:link w:val="HeaderChar"/>
    <w:uiPriority w:val="99"/>
    <w:unhideWhenUsed/>
    <w:rsid w:val="00AB4736"/>
    <w:pPr>
      <w:tabs>
        <w:tab w:val="center" w:pos="4680"/>
        <w:tab w:val="right" w:pos="9360"/>
      </w:tabs>
    </w:pPr>
  </w:style>
  <w:style w:type="character" w:customStyle="1" w:styleId="HeaderChar">
    <w:name w:val="Header Char"/>
    <w:basedOn w:val="DefaultParagraphFont"/>
    <w:link w:val="Header"/>
    <w:uiPriority w:val="99"/>
    <w:rsid w:val="00AB4736"/>
    <w:rPr>
      <w:sz w:val="24"/>
      <w:lang w:val="en-US" w:eastAsia="en-US"/>
    </w:rPr>
  </w:style>
  <w:style w:type="paragraph" w:styleId="Footer">
    <w:name w:val="footer"/>
    <w:basedOn w:val="Normal"/>
    <w:link w:val="FooterChar"/>
    <w:uiPriority w:val="99"/>
    <w:unhideWhenUsed/>
    <w:rsid w:val="00AB4736"/>
    <w:pPr>
      <w:tabs>
        <w:tab w:val="center" w:pos="4680"/>
        <w:tab w:val="right" w:pos="9360"/>
      </w:tabs>
    </w:pPr>
  </w:style>
  <w:style w:type="character" w:customStyle="1" w:styleId="FooterChar">
    <w:name w:val="Footer Char"/>
    <w:basedOn w:val="DefaultParagraphFont"/>
    <w:link w:val="Footer"/>
    <w:uiPriority w:val="99"/>
    <w:rsid w:val="00AB4736"/>
    <w:rPr>
      <w:sz w:val="24"/>
      <w:lang w:val="en-US" w:eastAsia="en-US"/>
    </w:rPr>
  </w:style>
  <w:style w:type="character" w:styleId="PageNumber">
    <w:name w:val="page number"/>
    <w:basedOn w:val="DefaultParagraphFont"/>
    <w:uiPriority w:val="99"/>
    <w:semiHidden/>
    <w:unhideWhenUsed/>
    <w:rsid w:val="007351DA"/>
  </w:style>
  <w:style w:type="character" w:customStyle="1" w:styleId="Heading1Char">
    <w:name w:val="Heading 1 Char"/>
    <w:basedOn w:val="DefaultParagraphFont"/>
    <w:link w:val="Heading1"/>
    <w:uiPriority w:val="9"/>
    <w:rsid w:val="00F7640D"/>
    <w:rPr>
      <w:rFonts w:ascii="Arial" w:eastAsiaTheme="majorEastAsia" w:hAnsi="Arial" w:cstheme="majorBidi"/>
      <w:b/>
      <w:caps/>
      <w:color w:val="000000" w:themeColor="text1"/>
      <w:sz w:val="28"/>
      <w:szCs w:val="32"/>
      <w:lang w:val="en-GB" w:eastAsia="en-US"/>
    </w:rPr>
  </w:style>
  <w:style w:type="character" w:customStyle="1" w:styleId="Heading2Char">
    <w:name w:val="Heading 2 Char"/>
    <w:basedOn w:val="DefaultParagraphFont"/>
    <w:link w:val="Heading2"/>
    <w:uiPriority w:val="9"/>
    <w:rsid w:val="00F7640D"/>
    <w:rPr>
      <w:rFonts w:ascii="Arial" w:eastAsiaTheme="majorEastAsia" w:hAnsi="Arial" w:cstheme="majorBidi"/>
      <w:b/>
      <w:color w:val="000000" w:themeColor="text1"/>
      <w:sz w:val="24"/>
      <w:szCs w:val="26"/>
      <w:lang w:val="en-US" w:eastAsia="en-US"/>
    </w:rPr>
  </w:style>
  <w:style w:type="character" w:customStyle="1" w:styleId="Heading3Char">
    <w:name w:val="Heading 3 Char"/>
    <w:basedOn w:val="DefaultParagraphFont"/>
    <w:link w:val="Heading3"/>
    <w:uiPriority w:val="9"/>
    <w:rsid w:val="00F7640D"/>
    <w:rPr>
      <w:rFonts w:ascii="Arial" w:eastAsiaTheme="majorEastAsia" w:hAnsi="Arial" w:cstheme="majorBidi"/>
      <w:b/>
      <w:color w:val="000000" w:themeColor="text1"/>
      <w:sz w:val="24"/>
      <w:szCs w:val="24"/>
      <w:lang w:val="en-US" w:eastAsia="en-US"/>
    </w:rPr>
  </w:style>
  <w:style w:type="character" w:customStyle="1" w:styleId="Heading4Char">
    <w:name w:val="Heading 4 Char"/>
    <w:basedOn w:val="DefaultParagraphFont"/>
    <w:link w:val="Heading4"/>
    <w:uiPriority w:val="9"/>
    <w:rsid w:val="00F7640D"/>
    <w:rPr>
      <w:rFonts w:ascii="Arial" w:eastAsiaTheme="majorEastAsia" w:hAnsi="Arial" w:cstheme="majorBidi"/>
      <w:iCs/>
      <w:color w:val="000000" w:themeColor="text1"/>
      <w:sz w:val="24"/>
      <w:u w:val="single"/>
      <w:lang w:val="en-US" w:eastAsia="en-US"/>
    </w:rPr>
  </w:style>
  <w:style w:type="character" w:customStyle="1" w:styleId="Heading5Char">
    <w:name w:val="Heading 5 Char"/>
    <w:basedOn w:val="DefaultParagraphFont"/>
    <w:link w:val="Heading5"/>
    <w:uiPriority w:val="9"/>
    <w:rsid w:val="00F7640D"/>
    <w:rPr>
      <w:rFonts w:ascii="Arial" w:eastAsiaTheme="majorEastAsia" w:hAnsi="Arial" w:cstheme="majorBidi"/>
      <w:i/>
      <w:color w:val="000000" w:themeColor="text1"/>
      <w:sz w:val="24"/>
      <w:lang w:val="en-US" w:eastAsia="en-US"/>
    </w:rPr>
  </w:style>
  <w:style w:type="character" w:styleId="UnresolvedMention">
    <w:name w:val="Unresolved Mention"/>
    <w:basedOn w:val="DefaultParagraphFont"/>
    <w:uiPriority w:val="99"/>
    <w:rsid w:val="009C7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53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949/1521792"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AD2C4-2379-C941-AFCD-5666BF374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1034</Words>
  <Characters>6949</Characters>
  <Application>Microsoft Office Word</Application>
  <DocSecurity>0</DocSecurity>
  <Lines>144</Lines>
  <Paragraphs>35</Paragraphs>
  <ScaleCrop>false</ScaleCrop>
  <HeadingPairs>
    <vt:vector size="2" baseType="variant">
      <vt:variant>
        <vt:lpstr>Title</vt:lpstr>
      </vt:variant>
      <vt:variant>
        <vt:i4>1</vt:i4>
      </vt:variant>
    </vt:vector>
  </HeadingPairs>
  <TitlesOfParts>
    <vt:vector size="1" baseType="lpstr">
      <vt:lpstr/>
    </vt:vector>
  </TitlesOfParts>
  <Company>NGU</Company>
  <LinksUpToDate>false</LinksUpToDate>
  <CharactersWithSpaces>7948</CharactersWithSpaces>
  <SharedDoc>false</SharedDoc>
  <HLinks>
    <vt:vector size="6" baseType="variant">
      <vt:variant>
        <vt:i4>7667727</vt:i4>
      </vt:variant>
      <vt:variant>
        <vt:i4>0</vt:i4>
      </vt:variant>
      <vt:variant>
        <vt:i4>0</vt:i4>
      </vt:variant>
      <vt:variant>
        <vt:i4>5</vt:i4>
      </vt:variant>
      <vt:variant>
        <vt:lpwstr>mailto:maarten.broekmans@ngu.no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furnas</dc:creator>
  <cp:lastModifiedBy>Kurtis, Kimberly E</cp:lastModifiedBy>
  <cp:revision>2</cp:revision>
  <cp:lastPrinted>2015-06-10T00:26:00Z</cp:lastPrinted>
  <dcterms:created xsi:type="dcterms:W3CDTF">2026-03-03T20:17:00Z</dcterms:created>
  <dcterms:modified xsi:type="dcterms:W3CDTF">2026-03-03T20:17:00Z</dcterms:modified>
</cp:coreProperties>
</file>