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7BE0" w:rsidRDefault="007F64A9">
      <w:pPr>
        <w:pStyle w:val="Titre1"/>
        <w:ind w:firstLine="0"/>
        <w:rPr>
          <w:smallCaps w:val="0"/>
        </w:rPr>
      </w:pPr>
      <w:r>
        <w:rPr>
          <w:smallCaps w:val="0"/>
        </w:rPr>
        <w:t>DURABILITY OF CONCRETE CONTAINING ETTRINGITE ACCELERATORS</w:t>
      </w:r>
    </w:p>
    <w:p w:rsidR="007C7BE0" w:rsidRDefault="007C7BE0">
      <w:pPr>
        <w:ind w:firstLine="0"/>
      </w:pPr>
    </w:p>
    <w:p w:rsidR="007C7BE0" w:rsidRPr="00091035" w:rsidRDefault="007F64A9">
      <w:pPr>
        <w:ind w:firstLine="0"/>
        <w:jc w:val="center"/>
        <w:rPr>
          <w:lang w:val="fr-FR"/>
        </w:rPr>
      </w:pPr>
      <w:proofErr w:type="spellStart"/>
      <w:r w:rsidRPr="00091035">
        <w:rPr>
          <w:lang w:val="fr-FR"/>
        </w:rPr>
        <w:t>Benevenuti</w:t>
      </w:r>
      <w:proofErr w:type="spellEnd"/>
      <w:r w:rsidRPr="00091035">
        <w:rPr>
          <w:lang w:val="fr-FR"/>
        </w:rPr>
        <w:t>, Barbara</w:t>
      </w:r>
      <w:r w:rsidRPr="00091035">
        <w:rPr>
          <w:vertAlign w:val="superscript"/>
          <w:lang w:val="fr-FR"/>
        </w:rPr>
        <w:t> </w:t>
      </w:r>
      <w:r w:rsidRPr="00091035">
        <w:rPr>
          <w:lang w:val="fr-FR"/>
        </w:rPr>
        <w:t xml:space="preserve">; </w:t>
      </w:r>
      <w:proofErr w:type="spellStart"/>
      <w:r w:rsidRPr="00091035">
        <w:rPr>
          <w:lang w:val="fr-FR"/>
        </w:rPr>
        <w:t>Aboulela</w:t>
      </w:r>
      <w:proofErr w:type="spellEnd"/>
      <w:r w:rsidRPr="00091035">
        <w:rPr>
          <w:lang w:val="fr-FR"/>
        </w:rPr>
        <w:t>, Amr</w:t>
      </w:r>
      <w:r w:rsidRPr="00091035">
        <w:rPr>
          <w:vertAlign w:val="superscript"/>
          <w:lang w:val="fr-FR"/>
        </w:rPr>
        <w:t> </w:t>
      </w:r>
      <w:r w:rsidRPr="00091035">
        <w:rPr>
          <w:lang w:val="fr-FR"/>
        </w:rPr>
        <w:t xml:space="preserve">; El </w:t>
      </w:r>
      <w:proofErr w:type="spellStart"/>
      <w:r w:rsidRPr="00091035">
        <w:rPr>
          <w:lang w:val="fr-FR"/>
        </w:rPr>
        <w:t>Housseini</w:t>
      </w:r>
      <w:proofErr w:type="spellEnd"/>
      <w:r w:rsidRPr="00091035">
        <w:rPr>
          <w:lang w:val="fr-FR"/>
        </w:rPr>
        <w:t>, Sarra</w:t>
      </w:r>
    </w:p>
    <w:p w:rsidR="007C7BE0" w:rsidRPr="00091035" w:rsidRDefault="007F64A9">
      <w:pPr>
        <w:ind w:firstLine="0"/>
        <w:jc w:val="center"/>
        <w:rPr>
          <w:lang w:val="fr-FR"/>
        </w:rPr>
      </w:pPr>
      <w:r w:rsidRPr="00091035">
        <w:rPr>
          <w:lang w:val="fr-FR"/>
        </w:rPr>
        <w:t>Imerys, 1 Rue le Chatelier, Vaulx-Milieu, France</w:t>
      </w:r>
    </w:p>
    <w:p w:rsidR="007C7BE0" w:rsidRPr="00091035" w:rsidRDefault="007C7BE0">
      <w:pPr>
        <w:ind w:firstLine="0"/>
        <w:rPr>
          <w:vertAlign w:val="superscript"/>
          <w:lang w:val="fr-FR"/>
        </w:rPr>
      </w:pPr>
    </w:p>
    <w:p w:rsidR="007C7BE0" w:rsidRDefault="007F64A9">
      <w:pPr>
        <w:ind w:firstLine="0"/>
      </w:pPr>
      <w:r>
        <w:rPr>
          <w:b/>
          <w:bCs/>
        </w:rPr>
        <w:t>Keywords:</w:t>
      </w:r>
      <w:r>
        <w:t xml:space="preserve"> Durability, concrete, accelerator, ettringite, calcium aluminate</w:t>
      </w:r>
    </w:p>
    <w:p w:rsidR="007C7BE0" w:rsidRDefault="007C7BE0"/>
    <w:p w:rsidR="007C7BE0" w:rsidRDefault="007F64A9">
      <w:pPr>
        <w:pStyle w:val="Titre2"/>
        <w:spacing w:before="120"/>
        <w:ind w:firstLine="0"/>
      </w:pPr>
      <w:r>
        <w:t>ABSTRACT</w:t>
      </w:r>
    </w:p>
    <w:p w:rsidR="007C7BE0" w:rsidRDefault="007F64A9">
      <w:pPr>
        <w:ind w:firstLine="0"/>
      </w:pPr>
      <w:r>
        <w:rPr>
          <w:highlight w:val="white"/>
        </w:rPr>
        <w:t>Previous r</w:t>
      </w:r>
      <w:r>
        <w:t>esearch</w:t>
      </w:r>
      <w:r>
        <w:rPr>
          <w:vertAlign w:val="superscript"/>
        </w:rPr>
        <w:t>1,2</w:t>
      </w:r>
      <w:r>
        <w:t xml:space="preserve"> has demonstrated the successful use of ettringite-based accelerators to enha</w:t>
      </w:r>
      <w:r>
        <w:rPr>
          <w:highlight w:val="white"/>
        </w:rPr>
        <w:t xml:space="preserve">nce the early-age strength of conventional and low-carbon binders without compromising long-term mechanical properties. </w:t>
      </w:r>
      <w:r>
        <w:t>The present study investigates their ef</w:t>
      </w:r>
      <w:r>
        <w:t xml:space="preserve">fect on the durability, a </w:t>
      </w:r>
      <w:r>
        <w:rPr>
          <w:highlight w:val="white"/>
        </w:rPr>
        <w:t>crucial factor for their use in concrete, by eva</w:t>
      </w:r>
      <w:r>
        <w:t>luating key durability indicators including chloride permeability, water porosity, and carbonation, in concrete mixes with and without ettringite-based accelerators.</w:t>
      </w:r>
    </w:p>
    <w:p w:rsidR="007C7BE0" w:rsidRDefault="007F64A9">
      <w:r>
        <w:t>Results indicate</w:t>
      </w:r>
      <w:r>
        <w:t xml:space="preserve"> that partial replacement of Portland cement with the accelerator significantly reduced the chloride permeability and had minimal effect on other parameters such as carbonation. </w:t>
      </w:r>
    </w:p>
    <w:p w:rsidR="007C7BE0" w:rsidRDefault="007F64A9">
      <w:r>
        <w:rPr>
          <w:highlight w:val="white"/>
        </w:rPr>
        <w:t>While initial water porosity measurements showed an increase of porosity in a</w:t>
      </w:r>
      <w:r>
        <w:rPr>
          <w:highlight w:val="white"/>
        </w:rPr>
        <w:t>ccelerated systems, this is likely an artifact which can be attributed to the standard testing method, which</w:t>
      </w:r>
      <w:r>
        <w:t xml:space="preserve"> involves drying of the concrete at 105°C. At this temperature the ettringite formed during the hydration of the accelerator is partially decomposed</w:t>
      </w:r>
      <w:r>
        <w:t>, leading to an artificially increased porosity of the cementitious matrix. Alternative testing</w:t>
      </w:r>
      <w:r>
        <w:rPr>
          <w:highlight w:val="white"/>
        </w:rPr>
        <w:t xml:space="preserve"> pe</w:t>
      </w:r>
      <w:r>
        <w:t xml:space="preserve">rformed with a 50°C drying temperature revealed significantly lower porosity levels. </w:t>
      </w:r>
    </w:p>
    <w:p w:rsidR="007C7BE0" w:rsidRDefault="007F64A9">
      <w:r>
        <w:t>These findings suggest that the addition of the ettringite accelerator d</w:t>
      </w:r>
      <w:r>
        <w:t>oes not have a deleterious effect on the durability of concrete, despite the expected modifications to the hydrate assemblage, thereby supporting their potential use in concrete applications.</w:t>
      </w:r>
    </w:p>
    <w:p w:rsidR="007C7BE0" w:rsidRDefault="007C7BE0">
      <w:pPr>
        <w:pStyle w:val="Titre2"/>
        <w:ind w:firstLine="0"/>
      </w:pPr>
    </w:p>
    <w:p w:rsidR="007C7BE0" w:rsidRDefault="007F64A9">
      <w:pPr>
        <w:pStyle w:val="Titre2"/>
        <w:ind w:firstLine="0"/>
      </w:pPr>
      <w:r>
        <w:t xml:space="preserve">INTRODUCTION | BACKGROUND </w:t>
      </w:r>
    </w:p>
    <w:p w:rsidR="007C7BE0" w:rsidRDefault="007F64A9">
      <w:pPr>
        <w:pBdr>
          <w:top w:val="nil"/>
          <w:left w:val="nil"/>
          <w:bottom w:val="nil"/>
          <w:right w:val="nil"/>
          <w:between w:val="nil"/>
        </w:pBdr>
        <w:ind w:firstLine="0"/>
      </w:pPr>
      <w:r>
        <w:t xml:space="preserve">Ettringite accelerators (EA), based </w:t>
      </w:r>
      <w:r>
        <w:t>on a combination of calcium aluminate and calcium sulfate, have been utilized for many years to accelerate the strength development of Portland cement-based mortars</w:t>
      </w:r>
      <w:r>
        <w:rPr>
          <w:vertAlign w:val="superscript"/>
        </w:rPr>
        <w:t>1,2</w:t>
      </w:r>
      <w:r>
        <w:t>, but their application in concrete remains limited. The increasing need to boost product</w:t>
      </w:r>
      <w:r>
        <w:t>ivity in the concrete industry, particularly with the expanded use of supplementary cementitious materials (SCMs)—which often negatively impact early-age strength</w:t>
      </w:r>
      <w:r>
        <w:rPr>
          <w:vertAlign w:val="superscript"/>
        </w:rPr>
        <w:t>3</w:t>
      </w:r>
      <w:r>
        <w:t>—creates an opportunity for using such accelerators. However, this raises the critical questi</w:t>
      </w:r>
      <w:r>
        <w:t>on of their impact on long-term durability.</w:t>
      </w:r>
    </w:p>
    <w:p w:rsidR="007C7BE0" w:rsidRDefault="007F64A9">
      <w:pPr>
        <w:pBdr>
          <w:top w:val="nil"/>
          <w:left w:val="nil"/>
          <w:bottom w:val="nil"/>
          <w:right w:val="nil"/>
          <w:between w:val="nil"/>
        </w:pBdr>
        <w:tabs>
          <w:tab w:val="left" w:pos="551"/>
        </w:tabs>
        <w:ind w:firstLine="0"/>
      </w:pPr>
      <w:r>
        <w:tab/>
      </w:r>
      <w:r>
        <w:t xml:space="preserve">Literature examining the durability of concrete containing EA as an accelerator for Portland-based binders is scarce, with most studies focusing on pure calcium aluminate-based concretes.  Nevertheless, some PhD studies have </w:t>
      </w:r>
      <w:r>
        <w:lastRenderedPageBreak/>
        <w:t>addressed this topic</w:t>
      </w:r>
      <w:r>
        <w:rPr>
          <w:vertAlign w:val="superscript"/>
        </w:rPr>
        <w:t>4,5,6</w:t>
      </w:r>
      <w:r>
        <w:t>. Thes</w:t>
      </w:r>
      <w:r>
        <w:t xml:space="preserve">e studies indicate that accelerators composed of ettringite precursors do not compromise durability. </w:t>
      </w:r>
    </w:p>
    <w:p w:rsidR="007C7BE0" w:rsidRDefault="007F64A9">
      <w:r>
        <w:t>The present study complements this existing data set by evaluating the durability performance of a CEM II-A-based concrete incorporating an ettringite acc</w:t>
      </w:r>
      <w:r>
        <w:t>elerator.</w:t>
      </w:r>
    </w:p>
    <w:p w:rsidR="007C7BE0" w:rsidRDefault="007F64A9">
      <w:pPr>
        <w:pStyle w:val="Titre2"/>
        <w:ind w:firstLine="0"/>
      </w:pPr>
      <w:r>
        <w:t>METHODS</w:t>
      </w:r>
    </w:p>
    <w:p w:rsidR="007C7BE0" w:rsidRDefault="007F64A9">
      <w:pPr>
        <w:ind w:firstLine="0"/>
      </w:pPr>
      <w:r>
        <w:t>Three concrete mixes were tested in this investigation. The reference mix contained 350 kg/m³ of CEM II-A and was designed to satisfy the C40/50 XF1 SF1 Dmax12 criteria. Two derivative accelerated compositions were prepared by replacing 5</w:t>
      </w:r>
      <w:r>
        <w:t>0 kg/m³ and 100 kg/m³ of the CEM II-A with an ettringite accelerator, composed of amorphous calcium aluminate and calcium sulfate.</w:t>
      </w:r>
    </w:p>
    <w:p w:rsidR="007C7BE0" w:rsidRDefault="007F64A9">
      <w:r>
        <w:t>All concrete compositions maintained an effective water/binder ratio of 0.5, corresponding to 175kg/m3 of water. A polycarbox</w:t>
      </w:r>
      <w:r>
        <w:t>ylate ether (PCE) superplasticizer was included, with the dosage adjusted to ensure comparable consistencies across all mixes. The accelerated systems additionally contained setting regulators.</w:t>
      </w:r>
    </w:p>
    <w:p w:rsidR="007C7BE0" w:rsidRDefault="007F64A9">
      <w:r>
        <w:t xml:space="preserve">Compressive strength measurements were performed according to </w:t>
      </w:r>
      <w:r>
        <w:t xml:space="preserve">EN 12390-3 and the durability tests were performed following the Performance-Based Approach (PBA) described in the French Technical Report FD P 18-480, which employs durability indicators to ensure a concrete mix is appropriately formulated to achieve its </w:t>
      </w:r>
      <w:r>
        <w:t>expected service life within a specific operating environment.</w:t>
      </w:r>
    </w:p>
    <w:p w:rsidR="007C7BE0" w:rsidRDefault="007F64A9">
      <w:pPr>
        <w:pStyle w:val="Titre1"/>
        <w:ind w:firstLine="0"/>
        <w:rPr>
          <w:sz w:val="24"/>
          <w:szCs w:val="24"/>
        </w:rPr>
      </w:pPr>
      <w:r>
        <w:rPr>
          <w:sz w:val="24"/>
          <w:szCs w:val="24"/>
        </w:rPr>
        <w:t>KEY FINDINGS</w:t>
      </w:r>
    </w:p>
    <w:p w:rsidR="007C7BE0" w:rsidRDefault="007F64A9">
      <w:pPr>
        <w:ind w:firstLine="0"/>
        <w:rPr>
          <w:b/>
          <w:bCs/>
        </w:rPr>
      </w:pPr>
      <w:r>
        <w:rPr>
          <w:b/>
          <w:bCs/>
        </w:rPr>
        <w:t>Compressive strengths</w:t>
      </w:r>
    </w:p>
    <w:p w:rsidR="007C7BE0" w:rsidRDefault="007F64A9">
      <w:pPr>
        <w:ind w:firstLine="0"/>
      </w:pPr>
      <w:r>
        <w:t>The strength results, displayed in Figure 1, show that the EA significantly improves early-age strengths, from 6h to 48h, while having no significant impact o</w:t>
      </w:r>
      <w:r>
        <w:t>n the later-age strengths (7 days and beyond). The magnitude of the early-age strength increase was proportional to the replacement rate of Portland cement with the accelerator.</w:t>
      </w:r>
    </w:p>
    <w:p w:rsidR="007C7BE0" w:rsidRDefault="007C7BE0">
      <w:pPr>
        <w:rPr>
          <w:color w:val="000000"/>
        </w:rPr>
      </w:pPr>
    </w:p>
    <w:p w:rsidR="007C7BE0" w:rsidRDefault="007F64A9">
      <w:pPr>
        <w:keepNext/>
        <w:ind w:firstLine="0"/>
        <w:jc w:val="center"/>
      </w:pPr>
      <w:r>
        <w:rPr>
          <w:noProof/>
        </w:rPr>
        <w:drawing>
          <wp:inline distT="114300" distB="114300" distL="114300" distR="114300">
            <wp:extent cx="5402270" cy="2324100"/>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402270" cy="2324100"/>
                    </a:xfrm>
                    <a:prstGeom prst="rect">
                      <a:avLst/>
                    </a:prstGeom>
                    <a:ln/>
                  </pic:spPr>
                </pic:pic>
              </a:graphicData>
            </a:graphic>
          </wp:inline>
        </w:drawing>
      </w:r>
    </w:p>
    <w:p w:rsidR="007C7BE0" w:rsidRDefault="007F64A9">
      <w:pPr>
        <w:pBdr>
          <w:top w:val="nil"/>
          <w:left w:val="nil"/>
          <w:bottom w:val="nil"/>
          <w:right w:val="nil"/>
          <w:between w:val="nil"/>
        </w:pBdr>
        <w:spacing w:after="200"/>
        <w:jc w:val="center"/>
        <w:rPr>
          <w:color w:val="000000"/>
          <w:sz w:val="20"/>
          <w:szCs w:val="20"/>
        </w:rPr>
      </w:pPr>
      <w:r>
        <w:rPr>
          <w:color w:val="000000"/>
          <w:sz w:val="20"/>
          <w:szCs w:val="20"/>
        </w:rPr>
        <w:t>Figure 1: Early (left) and late (right) age strengths of concrete mixes</w:t>
      </w:r>
    </w:p>
    <w:p w:rsidR="007C7BE0" w:rsidRDefault="007F64A9">
      <w:r>
        <w:t>The fast-forming ettringite generated by the accelerator</w:t>
      </w:r>
      <w:r>
        <w:rPr>
          <w:vertAlign w:val="superscript"/>
        </w:rPr>
        <w:t>7</w:t>
      </w:r>
      <w:r>
        <w:t xml:space="preserve"> contributes to the increase in early-age strengths without preventing the subsequent reaction of Portland cement at later ages and the continued filling of the system's porosity. </w:t>
      </w:r>
      <w:r>
        <w:lastRenderedPageBreak/>
        <w:t>The observed late-a</w:t>
      </w:r>
      <w:r>
        <w:t>ge strengths indicate that the hydrates formed from the accelerator contribute to the densification of the matrix porosity to an extent comparable with the hydrates formed by an equivalent amount of Portland cement.</w:t>
      </w:r>
    </w:p>
    <w:p w:rsidR="007C7BE0" w:rsidRDefault="007C7BE0"/>
    <w:p w:rsidR="007C7BE0" w:rsidRDefault="007F64A9">
      <w:pPr>
        <w:ind w:firstLine="0"/>
        <w:rPr>
          <w:b/>
          <w:bCs/>
        </w:rPr>
      </w:pPr>
      <w:r>
        <w:rPr>
          <w:b/>
          <w:bCs/>
        </w:rPr>
        <w:t>Durability performance</w:t>
      </w:r>
    </w:p>
    <w:p w:rsidR="007C7BE0" w:rsidRDefault="007F64A9">
      <w:pPr>
        <w:ind w:firstLine="0"/>
      </w:pPr>
      <w:r>
        <w:t>The durability performance indicators for the three concrete mixes are summarized in Table 1. The results indicate that the partial replacement of Portland cement by the ettringite accelerator does not alter the durability of the concrete.</w:t>
      </w:r>
    </w:p>
    <w:p w:rsidR="007C7BE0" w:rsidRDefault="007F64A9">
      <w:pPr>
        <w:pBdr>
          <w:top w:val="nil"/>
          <w:left w:val="nil"/>
          <w:bottom w:val="nil"/>
          <w:right w:val="nil"/>
          <w:between w:val="nil"/>
        </w:pBdr>
      </w:pPr>
      <w:r>
        <w:t>Regarding electr</w:t>
      </w:r>
      <w:r>
        <w:t>ic resistivity and chloride ion diffusion velocity, accelerated systems exhibited superior performance compared to the reference mix, suggesting enhanced resistance to the penetration of deleterious agents. Similar observations have been reported in previo</w:t>
      </w:r>
      <w:r>
        <w:t>us studies</w:t>
      </w:r>
      <w:r>
        <w:rPr>
          <w:vertAlign w:val="superscript"/>
        </w:rPr>
        <w:t>7</w:t>
      </w:r>
      <w:r>
        <w:t>, and may be linked to a densification of the hydrate matrix and alterations in its chemical composition, particularly an increase in alumina content, which can favor the formation of Friedel's salt.</w:t>
      </w:r>
    </w:p>
    <w:p w:rsidR="007C7BE0" w:rsidRDefault="007F64A9">
      <w:pPr>
        <w:pBdr>
          <w:top w:val="nil"/>
          <w:left w:val="nil"/>
          <w:bottom w:val="nil"/>
          <w:right w:val="nil"/>
          <w:between w:val="nil"/>
        </w:pBdr>
      </w:pPr>
      <w:r>
        <w:t xml:space="preserve">Carbonation depths measured across all mixes </w:t>
      </w:r>
      <w:r>
        <w:t>were extremely low. Quantifiable carbonation was observed only in the system with 100kg/m</w:t>
      </w:r>
      <w:r>
        <w:rPr>
          <w:vertAlign w:val="superscript"/>
        </w:rPr>
        <w:t>3</w:t>
      </w:r>
      <w:r>
        <w:t xml:space="preserve"> of accelerator, though the extent remained minimal, probably due to the very low porosity of the concrete formulations.</w:t>
      </w:r>
    </w:p>
    <w:p w:rsidR="007C7BE0" w:rsidRDefault="007F64A9">
      <w:r>
        <w:t>The measured water absorption and porosity to</w:t>
      </w:r>
      <w:r>
        <w:t xml:space="preserve"> water of the accelerated mixes are superior to the reference. However, this gap is more likely caused by the method of drying the samples than by intrinsic differences between the systems. Ettringite is known to be sensitive to the temperature</w:t>
      </w:r>
      <w:r>
        <w:rPr>
          <w:vertAlign w:val="superscript"/>
        </w:rPr>
        <w:t>8</w:t>
      </w:r>
      <w:r>
        <w:t>, and the d</w:t>
      </w:r>
      <w:r>
        <w:t>rying at 105°C, as prescribed by the standard testing procedure, will potentially degrade a portion of the ettringite present in the concrete and generate additional porosity. As the accelerated systems likely contain a higher volume of ettringite, they ar</w:t>
      </w:r>
      <w:r>
        <w:t xml:space="preserve">e expected to present a more pronounced increase in the porosity after the drying at 105°C. </w:t>
      </w:r>
    </w:p>
    <w:p w:rsidR="007C7BE0" w:rsidRDefault="007F64A9">
      <w:r>
        <w:t>By reducing the drying temperature to 50°C, below dehydration temperature of ettringite, a significant reduction in the measured porosity to water was observed. Un</w:t>
      </w:r>
      <w:r>
        <w:t xml:space="preserve">fortunately, a direct comparison of the systems’ intrinsic porosity is not possible, as the reference mix was not dried under </w:t>
      </w:r>
      <w:r>
        <w:t>50°C.</w:t>
      </w:r>
    </w:p>
    <w:p w:rsidR="007C7BE0" w:rsidRDefault="007C7BE0"/>
    <w:p w:rsidR="007C7BE0" w:rsidRDefault="007F64A9">
      <w:pPr>
        <w:keepNext/>
        <w:pBdr>
          <w:top w:val="nil"/>
          <w:left w:val="nil"/>
          <w:bottom w:val="nil"/>
          <w:right w:val="nil"/>
          <w:between w:val="nil"/>
        </w:pBdr>
        <w:spacing w:after="200"/>
        <w:ind w:firstLine="0"/>
        <w:jc w:val="center"/>
        <w:rPr>
          <w:color w:val="000000"/>
          <w:sz w:val="20"/>
          <w:szCs w:val="20"/>
        </w:rPr>
      </w:pPr>
      <w:r>
        <w:rPr>
          <w:color w:val="000000"/>
          <w:sz w:val="20"/>
          <w:szCs w:val="20"/>
        </w:rPr>
        <w:t>Table 1: Durability indicators of concrete mixes</w:t>
      </w:r>
    </w:p>
    <w:tbl>
      <w:tblPr>
        <w:tblStyle w:val="TableauListe6Couleur"/>
        <w:tblW w:w="8492" w:type="dxa"/>
        <w:tblLayout w:type="fixed"/>
        <w:tblLook w:val="0600" w:firstRow="0" w:lastRow="0" w:firstColumn="0" w:lastColumn="0" w:noHBand="1" w:noVBand="1"/>
      </w:tblPr>
      <w:tblGrid>
        <w:gridCol w:w="3544"/>
        <w:gridCol w:w="992"/>
        <w:gridCol w:w="1134"/>
        <w:gridCol w:w="1403"/>
        <w:gridCol w:w="15"/>
        <w:gridCol w:w="1389"/>
        <w:gridCol w:w="15"/>
      </w:tblGrid>
      <w:tr w:rsidR="007C7BE0" w:rsidRPr="00091035" w:rsidTr="007338CC">
        <w:trPr>
          <w:gridAfter w:val="1"/>
          <w:wAfter w:w="15" w:type="dxa"/>
          <w:trHeight w:val="190"/>
        </w:trPr>
        <w:tc>
          <w:tcPr>
            <w:tcW w:w="3544" w:type="dxa"/>
            <w:tcBorders>
              <w:top w:val="single" w:sz="4" w:space="0" w:color="000000" w:themeColor="text1"/>
              <w:bottom w:val="single" w:sz="4" w:space="0" w:color="auto"/>
            </w:tcBorders>
            <w:vAlign w:val="center"/>
          </w:tcPr>
          <w:p w:rsidR="007C7BE0" w:rsidRPr="00091035" w:rsidRDefault="007C7BE0" w:rsidP="00091035">
            <w:pPr>
              <w:ind w:firstLine="0"/>
              <w:jc w:val="center"/>
              <w:rPr>
                <w:sz w:val="20"/>
                <w:szCs w:val="22"/>
              </w:rPr>
            </w:pPr>
          </w:p>
        </w:tc>
        <w:tc>
          <w:tcPr>
            <w:tcW w:w="992" w:type="dxa"/>
            <w:tcBorders>
              <w:top w:val="single" w:sz="4" w:space="0" w:color="000000" w:themeColor="text1"/>
              <w:bottom w:val="single" w:sz="4" w:space="0" w:color="auto"/>
            </w:tcBorders>
            <w:vAlign w:val="center"/>
          </w:tcPr>
          <w:p w:rsidR="007C7BE0" w:rsidRPr="00091035" w:rsidRDefault="007C7BE0" w:rsidP="00091035">
            <w:pPr>
              <w:ind w:firstLine="0"/>
              <w:jc w:val="center"/>
              <w:rPr>
                <w:b/>
                <w:sz w:val="20"/>
                <w:szCs w:val="22"/>
              </w:rPr>
            </w:pPr>
          </w:p>
        </w:tc>
        <w:tc>
          <w:tcPr>
            <w:tcW w:w="1134" w:type="dxa"/>
            <w:tcBorders>
              <w:top w:val="single" w:sz="4" w:space="0" w:color="000000" w:themeColor="text1"/>
              <w:bottom w:val="single" w:sz="4" w:space="0" w:color="auto"/>
            </w:tcBorders>
            <w:vAlign w:val="center"/>
          </w:tcPr>
          <w:p w:rsidR="007C7BE0" w:rsidRPr="00091035" w:rsidRDefault="007F64A9" w:rsidP="007338CC">
            <w:pPr>
              <w:tabs>
                <w:tab w:val="clear" w:pos="1134"/>
                <w:tab w:val="left" w:pos="595"/>
              </w:tabs>
              <w:ind w:right="-112" w:hanging="107"/>
              <w:jc w:val="center"/>
              <w:rPr>
                <w:b/>
                <w:sz w:val="20"/>
                <w:szCs w:val="22"/>
              </w:rPr>
            </w:pPr>
            <w:r w:rsidRPr="00091035">
              <w:rPr>
                <w:b/>
                <w:sz w:val="20"/>
                <w:szCs w:val="22"/>
              </w:rPr>
              <w:t>PC Reference</w:t>
            </w:r>
          </w:p>
        </w:tc>
        <w:tc>
          <w:tcPr>
            <w:tcW w:w="1403" w:type="dxa"/>
            <w:tcBorders>
              <w:top w:val="single" w:sz="4" w:space="0" w:color="000000" w:themeColor="text1"/>
              <w:bottom w:val="single" w:sz="4" w:space="0" w:color="auto"/>
            </w:tcBorders>
            <w:vAlign w:val="center"/>
          </w:tcPr>
          <w:p w:rsidR="007C7BE0" w:rsidRPr="00091035" w:rsidRDefault="007F64A9" w:rsidP="00091035">
            <w:pPr>
              <w:ind w:firstLine="0"/>
              <w:jc w:val="center"/>
              <w:rPr>
                <w:b/>
                <w:sz w:val="20"/>
                <w:szCs w:val="22"/>
              </w:rPr>
            </w:pPr>
            <w:r w:rsidRPr="00091035">
              <w:rPr>
                <w:b/>
                <w:sz w:val="20"/>
                <w:szCs w:val="22"/>
              </w:rPr>
              <w:t>50kg/m3 of ettringite accelerator</w:t>
            </w:r>
          </w:p>
        </w:tc>
        <w:tc>
          <w:tcPr>
            <w:tcW w:w="1404" w:type="dxa"/>
            <w:gridSpan w:val="2"/>
            <w:tcBorders>
              <w:top w:val="single" w:sz="4" w:space="0" w:color="000000" w:themeColor="text1"/>
              <w:bottom w:val="single" w:sz="4" w:space="0" w:color="auto"/>
            </w:tcBorders>
            <w:vAlign w:val="center"/>
          </w:tcPr>
          <w:p w:rsidR="007C7BE0" w:rsidRPr="00091035" w:rsidRDefault="007F64A9" w:rsidP="00091035">
            <w:pPr>
              <w:ind w:firstLine="0"/>
              <w:jc w:val="center"/>
              <w:rPr>
                <w:b/>
                <w:sz w:val="20"/>
                <w:szCs w:val="22"/>
              </w:rPr>
            </w:pPr>
            <w:r w:rsidRPr="00091035">
              <w:rPr>
                <w:b/>
                <w:sz w:val="20"/>
                <w:szCs w:val="22"/>
              </w:rPr>
              <w:t>100kg/m3 of ettr</w:t>
            </w:r>
            <w:r w:rsidRPr="00091035">
              <w:rPr>
                <w:b/>
                <w:sz w:val="20"/>
                <w:szCs w:val="22"/>
              </w:rPr>
              <w:t>ingite accelerator</w:t>
            </w:r>
          </w:p>
        </w:tc>
      </w:tr>
      <w:tr w:rsidR="007C7BE0" w:rsidRPr="00091035" w:rsidTr="007338CC">
        <w:trPr>
          <w:trHeight w:val="340"/>
        </w:trPr>
        <w:tc>
          <w:tcPr>
            <w:tcW w:w="3544" w:type="dxa"/>
            <w:tcBorders>
              <w:top w:val="single" w:sz="4" w:space="0" w:color="auto"/>
            </w:tcBorders>
            <w:shd w:val="clear" w:color="auto" w:fill="D9D9D9" w:themeFill="background1" w:themeFillShade="D9"/>
            <w:vAlign w:val="center"/>
          </w:tcPr>
          <w:p w:rsidR="007C7BE0" w:rsidRPr="00091035" w:rsidRDefault="00091035" w:rsidP="007338CC">
            <w:pPr>
              <w:tabs>
                <w:tab w:val="clear" w:pos="3401"/>
                <w:tab w:val="left" w:pos="3439"/>
              </w:tabs>
              <w:ind w:hanging="105"/>
              <w:jc w:val="left"/>
              <w:rPr>
                <w:b/>
                <w:sz w:val="20"/>
                <w:szCs w:val="22"/>
              </w:rPr>
            </w:pPr>
            <w:r w:rsidRPr="00091035">
              <w:rPr>
                <w:b/>
                <w:sz w:val="20"/>
                <w:szCs w:val="22"/>
              </w:rPr>
              <w:t>Electric</w:t>
            </w:r>
            <w:r w:rsidR="007F64A9" w:rsidRPr="00091035">
              <w:rPr>
                <w:b/>
                <w:sz w:val="20"/>
                <w:szCs w:val="22"/>
              </w:rPr>
              <w:t xml:space="preserve"> resistivity @28 days</w:t>
            </w:r>
          </w:p>
        </w:tc>
        <w:tc>
          <w:tcPr>
            <w:tcW w:w="992" w:type="dxa"/>
            <w:tcBorders>
              <w:top w:val="single" w:sz="4" w:space="0" w:color="auto"/>
            </w:tcBorders>
            <w:shd w:val="clear" w:color="auto" w:fill="D9D9D9" w:themeFill="background1" w:themeFillShade="D9"/>
            <w:vAlign w:val="center"/>
          </w:tcPr>
          <w:p w:rsidR="007C7BE0" w:rsidRPr="00091035" w:rsidRDefault="007F64A9" w:rsidP="007338CC">
            <w:pPr>
              <w:ind w:right="-111" w:hanging="109"/>
              <w:jc w:val="center"/>
              <w:rPr>
                <w:sz w:val="20"/>
                <w:szCs w:val="22"/>
              </w:rPr>
            </w:pPr>
            <w:proofErr w:type="spellStart"/>
            <w:r w:rsidRPr="00091035">
              <w:rPr>
                <w:sz w:val="20"/>
                <w:szCs w:val="22"/>
              </w:rPr>
              <w:t>Ω.m</w:t>
            </w:r>
            <w:proofErr w:type="spellEnd"/>
          </w:p>
        </w:tc>
        <w:tc>
          <w:tcPr>
            <w:tcW w:w="1134" w:type="dxa"/>
            <w:tcBorders>
              <w:top w:val="single" w:sz="4" w:space="0" w:color="auto"/>
            </w:tcBorders>
            <w:shd w:val="clear" w:color="auto" w:fill="D9D9D9" w:themeFill="background1" w:themeFillShade="D9"/>
            <w:vAlign w:val="center"/>
          </w:tcPr>
          <w:p w:rsidR="007C7BE0" w:rsidRPr="00091035" w:rsidRDefault="007F64A9" w:rsidP="007338CC">
            <w:pPr>
              <w:tabs>
                <w:tab w:val="clear" w:pos="1134"/>
                <w:tab w:val="left" w:pos="595"/>
              </w:tabs>
              <w:ind w:right="-112" w:hanging="107"/>
              <w:jc w:val="center"/>
              <w:rPr>
                <w:sz w:val="20"/>
                <w:szCs w:val="22"/>
              </w:rPr>
            </w:pPr>
            <w:r w:rsidRPr="00091035">
              <w:rPr>
                <w:sz w:val="20"/>
                <w:szCs w:val="22"/>
              </w:rPr>
              <w:t>58</w:t>
            </w:r>
          </w:p>
        </w:tc>
        <w:tc>
          <w:tcPr>
            <w:tcW w:w="1418" w:type="dxa"/>
            <w:gridSpan w:val="2"/>
            <w:tcBorders>
              <w:top w:val="single" w:sz="4" w:space="0" w:color="auto"/>
            </w:tcBorders>
            <w:shd w:val="clear" w:color="auto" w:fill="D9D9D9" w:themeFill="background1" w:themeFillShade="D9"/>
            <w:vAlign w:val="center"/>
          </w:tcPr>
          <w:p w:rsidR="007C7BE0" w:rsidRPr="00091035" w:rsidRDefault="007F64A9" w:rsidP="00091035">
            <w:pPr>
              <w:ind w:hanging="105"/>
              <w:jc w:val="center"/>
              <w:rPr>
                <w:sz w:val="20"/>
                <w:szCs w:val="22"/>
              </w:rPr>
            </w:pPr>
            <w:r w:rsidRPr="00091035">
              <w:rPr>
                <w:sz w:val="20"/>
                <w:szCs w:val="22"/>
              </w:rPr>
              <w:t>57</w:t>
            </w:r>
          </w:p>
        </w:tc>
        <w:tc>
          <w:tcPr>
            <w:tcW w:w="1404" w:type="dxa"/>
            <w:gridSpan w:val="2"/>
            <w:tcBorders>
              <w:top w:val="single" w:sz="4" w:space="0" w:color="auto"/>
            </w:tcBorders>
            <w:shd w:val="clear" w:color="auto" w:fill="D9D9D9" w:themeFill="background1" w:themeFillShade="D9"/>
            <w:vAlign w:val="center"/>
          </w:tcPr>
          <w:p w:rsidR="007C7BE0" w:rsidRPr="00091035" w:rsidRDefault="007F64A9" w:rsidP="00091035">
            <w:pPr>
              <w:ind w:firstLine="0"/>
              <w:jc w:val="center"/>
              <w:rPr>
                <w:sz w:val="20"/>
                <w:szCs w:val="22"/>
              </w:rPr>
            </w:pPr>
            <w:r w:rsidRPr="00091035">
              <w:rPr>
                <w:sz w:val="20"/>
                <w:szCs w:val="22"/>
              </w:rPr>
              <w:t>58</w:t>
            </w:r>
          </w:p>
        </w:tc>
      </w:tr>
      <w:tr w:rsidR="007C7BE0" w:rsidRPr="00091035" w:rsidTr="007338CC">
        <w:trPr>
          <w:trHeight w:val="340"/>
        </w:trPr>
        <w:tc>
          <w:tcPr>
            <w:tcW w:w="3544" w:type="dxa"/>
            <w:vAlign w:val="center"/>
          </w:tcPr>
          <w:p w:rsidR="007C7BE0" w:rsidRPr="00091035" w:rsidRDefault="00091035" w:rsidP="007338CC">
            <w:pPr>
              <w:tabs>
                <w:tab w:val="clear" w:pos="3401"/>
                <w:tab w:val="left" w:pos="3439"/>
              </w:tabs>
              <w:ind w:hanging="105"/>
              <w:jc w:val="left"/>
              <w:rPr>
                <w:b/>
                <w:sz w:val="20"/>
                <w:szCs w:val="22"/>
              </w:rPr>
            </w:pPr>
            <w:r w:rsidRPr="00091035">
              <w:rPr>
                <w:b/>
                <w:sz w:val="20"/>
                <w:szCs w:val="22"/>
              </w:rPr>
              <w:t>Electric</w:t>
            </w:r>
            <w:r w:rsidR="007F64A9" w:rsidRPr="00091035">
              <w:rPr>
                <w:b/>
                <w:sz w:val="20"/>
                <w:szCs w:val="22"/>
              </w:rPr>
              <w:t xml:space="preserve"> resistivity @90 days</w:t>
            </w:r>
          </w:p>
        </w:tc>
        <w:tc>
          <w:tcPr>
            <w:tcW w:w="992" w:type="dxa"/>
            <w:vAlign w:val="center"/>
          </w:tcPr>
          <w:p w:rsidR="007C7BE0" w:rsidRPr="00091035" w:rsidRDefault="007F64A9" w:rsidP="007338CC">
            <w:pPr>
              <w:ind w:right="-111" w:hanging="109"/>
              <w:jc w:val="center"/>
              <w:rPr>
                <w:sz w:val="20"/>
                <w:szCs w:val="22"/>
              </w:rPr>
            </w:pPr>
            <w:proofErr w:type="spellStart"/>
            <w:r w:rsidRPr="00091035">
              <w:rPr>
                <w:sz w:val="20"/>
                <w:szCs w:val="22"/>
              </w:rPr>
              <w:t>Ω.m</w:t>
            </w:r>
            <w:proofErr w:type="spellEnd"/>
          </w:p>
        </w:tc>
        <w:tc>
          <w:tcPr>
            <w:tcW w:w="1134" w:type="dxa"/>
            <w:vAlign w:val="center"/>
          </w:tcPr>
          <w:p w:rsidR="007C7BE0" w:rsidRPr="00091035" w:rsidRDefault="007F64A9" w:rsidP="007338CC">
            <w:pPr>
              <w:tabs>
                <w:tab w:val="clear" w:pos="1134"/>
                <w:tab w:val="left" w:pos="595"/>
              </w:tabs>
              <w:ind w:right="-112" w:hanging="107"/>
              <w:jc w:val="center"/>
              <w:rPr>
                <w:sz w:val="20"/>
                <w:szCs w:val="22"/>
              </w:rPr>
            </w:pPr>
            <w:r w:rsidRPr="00091035">
              <w:rPr>
                <w:sz w:val="20"/>
                <w:szCs w:val="22"/>
              </w:rPr>
              <w:t>84</w:t>
            </w:r>
          </w:p>
        </w:tc>
        <w:tc>
          <w:tcPr>
            <w:tcW w:w="1418" w:type="dxa"/>
            <w:gridSpan w:val="2"/>
            <w:vAlign w:val="center"/>
          </w:tcPr>
          <w:p w:rsidR="007C7BE0" w:rsidRPr="00091035" w:rsidRDefault="007F64A9" w:rsidP="00091035">
            <w:pPr>
              <w:ind w:hanging="105"/>
              <w:jc w:val="center"/>
              <w:rPr>
                <w:sz w:val="20"/>
                <w:szCs w:val="22"/>
              </w:rPr>
            </w:pPr>
            <w:r w:rsidRPr="00091035">
              <w:rPr>
                <w:sz w:val="20"/>
                <w:szCs w:val="22"/>
              </w:rPr>
              <w:t>111</w:t>
            </w:r>
          </w:p>
        </w:tc>
        <w:tc>
          <w:tcPr>
            <w:tcW w:w="1404" w:type="dxa"/>
            <w:gridSpan w:val="2"/>
            <w:vAlign w:val="center"/>
          </w:tcPr>
          <w:p w:rsidR="007C7BE0" w:rsidRPr="00091035" w:rsidRDefault="007F64A9" w:rsidP="00091035">
            <w:pPr>
              <w:ind w:firstLine="0"/>
              <w:jc w:val="center"/>
              <w:rPr>
                <w:sz w:val="20"/>
                <w:szCs w:val="22"/>
              </w:rPr>
            </w:pPr>
            <w:r w:rsidRPr="00091035">
              <w:rPr>
                <w:sz w:val="20"/>
                <w:szCs w:val="22"/>
              </w:rPr>
              <w:t>95</w:t>
            </w:r>
          </w:p>
        </w:tc>
      </w:tr>
      <w:tr w:rsidR="007C7BE0" w:rsidRPr="00091035" w:rsidTr="007338CC">
        <w:trPr>
          <w:trHeight w:val="340"/>
        </w:trPr>
        <w:tc>
          <w:tcPr>
            <w:tcW w:w="3544" w:type="dxa"/>
            <w:shd w:val="clear" w:color="auto" w:fill="D9D9D9" w:themeFill="background1" w:themeFillShade="D9"/>
            <w:vAlign w:val="center"/>
          </w:tcPr>
          <w:p w:rsidR="007C7BE0" w:rsidRPr="00091035" w:rsidRDefault="007F64A9" w:rsidP="007338CC">
            <w:pPr>
              <w:tabs>
                <w:tab w:val="clear" w:pos="3401"/>
                <w:tab w:val="left" w:pos="3439"/>
              </w:tabs>
              <w:ind w:hanging="105"/>
              <w:jc w:val="left"/>
              <w:rPr>
                <w:b/>
                <w:sz w:val="20"/>
                <w:szCs w:val="22"/>
              </w:rPr>
            </w:pPr>
            <w:r w:rsidRPr="00091035">
              <w:rPr>
                <w:b/>
                <w:sz w:val="20"/>
                <w:szCs w:val="22"/>
              </w:rPr>
              <w:t>Water absorption @28d (105°C)</w:t>
            </w:r>
          </w:p>
        </w:tc>
        <w:tc>
          <w:tcPr>
            <w:tcW w:w="992" w:type="dxa"/>
            <w:shd w:val="clear" w:color="auto" w:fill="D9D9D9" w:themeFill="background1" w:themeFillShade="D9"/>
            <w:vAlign w:val="center"/>
          </w:tcPr>
          <w:p w:rsidR="007C7BE0" w:rsidRPr="00091035" w:rsidRDefault="007F64A9" w:rsidP="007338CC">
            <w:pPr>
              <w:ind w:right="-111" w:hanging="109"/>
              <w:jc w:val="center"/>
              <w:rPr>
                <w:sz w:val="20"/>
                <w:szCs w:val="22"/>
              </w:rPr>
            </w:pPr>
            <w:r w:rsidRPr="00091035">
              <w:rPr>
                <w:sz w:val="20"/>
                <w:szCs w:val="22"/>
              </w:rPr>
              <w:t>%</w:t>
            </w:r>
          </w:p>
        </w:tc>
        <w:tc>
          <w:tcPr>
            <w:tcW w:w="1134" w:type="dxa"/>
            <w:shd w:val="clear" w:color="auto" w:fill="D9D9D9" w:themeFill="background1" w:themeFillShade="D9"/>
            <w:vAlign w:val="center"/>
          </w:tcPr>
          <w:p w:rsidR="007C7BE0" w:rsidRPr="00091035" w:rsidRDefault="007F64A9" w:rsidP="007338CC">
            <w:pPr>
              <w:tabs>
                <w:tab w:val="clear" w:pos="1134"/>
                <w:tab w:val="left" w:pos="595"/>
              </w:tabs>
              <w:ind w:right="-112" w:hanging="107"/>
              <w:jc w:val="center"/>
              <w:rPr>
                <w:sz w:val="20"/>
                <w:szCs w:val="22"/>
              </w:rPr>
            </w:pPr>
            <w:r w:rsidRPr="00091035">
              <w:rPr>
                <w:sz w:val="20"/>
                <w:szCs w:val="22"/>
              </w:rPr>
              <w:t>5,7</w:t>
            </w:r>
          </w:p>
        </w:tc>
        <w:tc>
          <w:tcPr>
            <w:tcW w:w="1418" w:type="dxa"/>
            <w:gridSpan w:val="2"/>
            <w:shd w:val="clear" w:color="auto" w:fill="D9D9D9" w:themeFill="background1" w:themeFillShade="D9"/>
            <w:vAlign w:val="center"/>
          </w:tcPr>
          <w:p w:rsidR="007C7BE0" w:rsidRPr="00091035" w:rsidRDefault="007F64A9" w:rsidP="00091035">
            <w:pPr>
              <w:ind w:hanging="105"/>
              <w:jc w:val="center"/>
              <w:rPr>
                <w:sz w:val="20"/>
                <w:szCs w:val="22"/>
              </w:rPr>
            </w:pPr>
            <w:r w:rsidRPr="00091035">
              <w:rPr>
                <w:sz w:val="20"/>
                <w:szCs w:val="22"/>
              </w:rPr>
              <w:t>6,8</w:t>
            </w:r>
          </w:p>
        </w:tc>
        <w:tc>
          <w:tcPr>
            <w:tcW w:w="1404" w:type="dxa"/>
            <w:gridSpan w:val="2"/>
            <w:shd w:val="clear" w:color="auto" w:fill="D9D9D9" w:themeFill="background1" w:themeFillShade="D9"/>
            <w:vAlign w:val="center"/>
          </w:tcPr>
          <w:p w:rsidR="007C7BE0" w:rsidRPr="00091035" w:rsidRDefault="007F64A9" w:rsidP="00091035">
            <w:pPr>
              <w:ind w:firstLine="0"/>
              <w:jc w:val="center"/>
              <w:rPr>
                <w:sz w:val="20"/>
                <w:szCs w:val="22"/>
              </w:rPr>
            </w:pPr>
            <w:r w:rsidRPr="00091035">
              <w:rPr>
                <w:sz w:val="20"/>
                <w:szCs w:val="22"/>
              </w:rPr>
              <w:t>6,9</w:t>
            </w:r>
          </w:p>
        </w:tc>
      </w:tr>
      <w:tr w:rsidR="007C7BE0" w:rsidRPr="00091035" w:rsidTr="007338CC">
        <w:trPr>
          <w:trHeight w:val="340"/>
        </w:trPr>
        <w:tc>
          <w:tcPr>
            <w:tcW w:w="3544" w:type="dxa"/>
            <w:vAlign w:val="center"/>
          </w:tcPr>
          <w:p w:rsidR="007C7BE0" w:rsidRPr="00091035" w:rsidRDefault="007F64A9" w:rsidP="007338CC">
            <w:pPr>
              <w:tabs>
                <w:tab w:val="clear" w:pos="3401"/>
                <w:tab w:val="left" w:pos="3439"/>
              </w:tabs>
              <w:ind w:hanging="105"/>
              <w:jc w:val="left"/>
              <w:rPr>
                <w:b/>
                <w:sz w:val="20"/>
                <w:szCs w:val="22"/>
              </w:rPr>
            </w:pPr>
            <w:r w:rsidRPr="00091035">
              <w:rPr>
                <w:b/>
                <w:sz w:val="20"/>
                <w:szCs w:val="22"/>
              </w:rPr>
              <w:t>Porosity to water @90d (105°C)</w:t>
            </w:r>
          </w:p>
        </w:tc>
        <w:tc>
          <w:tcPr>
            <w:tcW w:w="992" w:type="dxa"/>
            <w:vAlign w:val="center"/>
          </w:tcPr>
          <w:p w:rsidR="007C7BE0" w:rsidRPr="00091035" w:rsidRDefault="007F64A9" w:rsidP="007338CC">
            <w:pPr>
              <w:ind w:right="-111" w:hanging="109"/>
              <w:jc w:val="center"/>
              <w:rPr>
                <w:sz w:val="20"/>
                <w:szCs w:val="22"/>
              </w:rPr>
            </w:pPr>
            <w:r w:rsidRPr="00091035">
              <w:rPr>
                <w:sz w:val="20"/>
                <w:szCs w:val="22"/>
              </w:rPr>
              <w:t>%</w:t>
            </w:r>
          </w:p>
        </w:tc>
        <w:tc>
          <w:tcPr>
            <w:tcW w:w="1134" w:type="dxa"/>
            <w:vAlign w:val="center"/>
          </w:tcPr>
          <w:p w:rsidR="007C7BE0" w:rsidRPr="00091035" w:rsidRDefault="007F64A9" w:rsidP="007338CC">
            <w:pPr>
              <w:tabs>
                <w:tab w:val="clear" w:pos="1134"/>
                <w:tab w:val="left" w:pos="595"/>
              </w:tabs>
              <w:ind w:right="-112" w:hanging="107"/>
              <w:jc w:val="center"/>
              <w:rPr>
                <w:sz w:val="20"/>
                <w:szCs w:val="22"/>
              </w:rPr>
            </w:pPr>
            <w:r w:rsidRPr="00091035">
              <w:rPr>
                <w:sz w:val="20"/>
                <w:szCs w:val="22"/>
              </w:rPr>
              <w:t>9,0</w:t>
            </w:r>
          </w:p>
        </w:tc>
        <w:tc>
          <w:tcPr>
            <w:tcW w:w="1418" w:type="dxa"/>
            <w:gridSpan w:val="2"/>
            <w:vAlign w:val="center"/>
          </w:tcPr>
          <w:p w:rsidR="007C7BE0" w:rsidRPr="00091035" w:rsidRDefault="007F64A9" w:rsidP="00091035">
            <w:pPr>
              <w:ind w:hanging="105"/>
              <w:jc w:val="center"/>
              <w:rPr>
                <w:sz w:val="20"/>
                <w:szCs w:val="22"/>
              </w:rPr>
            </w:pPr>
            <w:r w:rsidRPr="00091035">
              <w:rPr>
                <w:sz w:val="20"/>
                <w:szCs w:val="22"/>
              </w:rPr>
              <w:t>15,0</w:t>
            </w:r>
          </w:p>
        </w:tc>
        <w:tc>
          <w:tcPr>
            <w:tcW w:w="1404" w:type="dxa"/>
            <w:gridSpan w:val="2"/>
            <w:vAlign w:val="center"/>
          </w:tcPr>
          <w:p w:rsidR="007C7BE0" w:rsidRPr="00091035" w:rsidRDefault="007F64A9" w:rsidP="00091035">
            <w:pPr>
              <w:ind w:firstLine="0"/>
              <w:jc w:val="center"/>
              <w:rPr>
                <w:sz w:val="20"/>
                <w:szCs w:val="22"/>
              </w:rPr>
            </w:pPr>
            <w:r w:rsidRPr="00091035">
              <w:rPr>
                <w:sz w:val="20"/>
                <w:szCs w:val="22"/>
              </w:rPr>
              <w:t>15,7</w:t>
            </w:r>
          </w:p>
        </w:tc>
      </w:tr>
      <w:tr w:rsidR="007C7BE0" w:rsidRPr="00091035" w:rsidTr="007338CC">
        <w:trPr>
          <w:trHeight w:val="340"/>
        </w:trPr>
        <w:tc>
          <w:tcPr>
            <w:tcW w:w="3544" w:type="dxa"/>
            <w:shd w:val="clear" w:color="auto" w:fill="D9D9D9" w:themeFill="background1" w:themeFillShade="D9"/>
            <w:vAlign w:val="center"/>
          </w:tcPr>
          <w:p w:rsidR="007C7BE0" w:rsidRPr="00091035" w:rsidRDefault="007F64A9" w:rsidP="007338CC">
            <w:pPr>
              <w:tabs>
                <w:tab w:val="clear" w:pos="3401"/>
                <w:tab w:val="left" w:pos="3439"/>
              </w:tabs>
              <w:ind w:hanging="105"/>
              <w:jc w:val="left"/>
              <w:rPr>
                <w:b/>
                <w:sz w:val="20"/>
                <w:szCs w:val="22"/>
              </w:rPr>
            </w:pPr>
            <w:r w:rsidRPr="00091035">
              <w:rPr>
                <w:b/>
                <w:sz w:val="20"/>
                <w:szCs w:val="22"/>
              </w:rPr>
              <w:t>Porosity to water @90d (50°C)</w:t>
            </w:r>
          </w:p>
        </w:tc>
        <w:tc>
          <w:tcPr>
            <w:tcW w:w="992" w:type="dxa"/>
            <w:shd w:val="clear" w:color="auto" w:fill="D9D9D9" w:themeFill="background1" w:themeFillShade="D9"/>
            <w:vAlign w:val="center"/>
          </w:tcPr>
          <w:p w:rsidR="007C7BE0" w:rsidRPr="00091035" w:rsidRDefault="007F64A9" w:rsidP="007338CC">
            <w:pPr>
              <w:ind w:right="-111" w:hanging="109"/>
              <w:jc w:val="center"/>
              <w:rPr>
                <w:sz w:val="20"/>
                <w:szCs w:val="22"/>
              </w:rPr>
            </w:pPr>
            <w:r w:rsidRPr="00091035">
              <w:rPr>
                <w:sz w:val="20"/>
                <w:szCs w:val="22"/>
              </w:rPr>
              <w:t>%</w:t>
            </w:r>
          </w:p>
        </w:tc>
        <w:tc>
          <w:tcPr>
            <w:tcW w:w="1134" w:type="dxa"/>
            <w:shd w:val="clear" w:color="auto" w:fill="D9D9D9" w:themeFill="background1" w:themeFillShade="D9"/>
            <w:vAlign w:val="center"/>
          </w:tcPr>
          <w:p w:rsidR="007C7BE0" w:rsidRPr="00091035" w:rsidRDefault="007F64A9" w:rsidP="007338CC">
            <w:pPr>
              <w:tabs>
                <w:tab w:val="clear" w:pos="1134"/>
                <w:tab w:val="left" w:pos="595"/>
              </w:tabs>
              <w:ind w:right="-112" w:hanging="107"/>
              <w:jc w:val="center"/>
              <w:rPr>
                <w:sz w:val="20"/>
                <w:szCs w:val="22"/>
              </w:rPr>
            </w:pPr>
            <w:r w:rsidRPr="00091035">
              <w:rPr>
                <w:sz w:val="18"/>
                <w:szCs w:val="22"/>
              </w:rPr>
              <w:t>Not measured</w:t>
            </w:r>
          </w:p>
        </w:tc>
        <w:tc>
          <w:tcPr>
            <w:tcW w:w="1418" w:type="dxa"/>
            <w:gridSpan w:val="2"/>
            <w:shd w:val="clear" w:color="auto" w:fill="D9D9D9" w:themeFill="background1" w:themeFillShade="D9"/>
            <w:vAlign w:val="center"/>
          </w:tcPr>
          <w:p w:rsidR="007C7BE0" w:rsidRPr="00091035" w:rsidRDefault="007F64A9" w:rsidP="00091035">
            <w:pPr>
              <w:ind w:hanging="105"/>
              <w:jc w:val="center"/>
              <w:rPr>
                <w:sz w:val="20"/>
                <w:szCs w:val="22"/>
              </w:rPr>
            </w:pPr>
            <w:r w:rsidRPr="00091035">
              <w:rPr>
                <w:sz w:val="20"/>
                <w:szCs w:val="22"/>
              </w:rPr>
              <w:t>10,1</w:t>
            </w:r>
          </w:p>
        </w:tc>
        <w:tc>
          <w:tcPr>
            <w:tcW w:w="1404" w:type="dxa"/>
            <w:gridSpan w:val="2"/>
            <w:shd w:val="clear" w:color="auto" w:fill="D9D9D9" w:themeFill="background1" w:themeFillShade="D9"/>
            <w:vAlign w:val="center"/>
          </w:tcPr>
          <w:p w:rsidR="007C7BE0" w:rsidRPr="00091035" w:rsidRDefault="007F64A9" w:rsidP="00091035">
            <w:pPr>
              <w:ind w:firstLine="0"/>
              <w:jc w:val="center"/>
              <w:rPr>
                <w:sz w:val="20"/>
                <w:szCs w:val="22"/>
              </w:rPr>
            </w:pPr>
            <w:r w:rsidRPr="00091035">
              <w:rPr>
                <w:sz w:val="20"/>
                <w:szCs w:val="22"/>
              </w:rPr>
              <w:t>10,4</w:t>
            </w:r>
          </w:p>
        </w:tc>
      </w:tr>
      <w:tr w:rsidR="007C7BE0" w:rsidRPr="00091035" w:rsidTr="007338CC">
        <w:trPr>
          <w:trHeight w:val="340"/>
        </w:trPr>
        <w:tc>
          <w:tcPr>
            <w:tcW w:w="3544" w:type="dxa"/>
            <w:vAlign w:val="center"/>
          </w:tcPr>
          <w:p w:rsidR="007C7BE0" w:rsidRPr="00091035" w:rsidRDefault="007F64A9" w:rsidP="007338CC">
            <w:pPr>
              <w:tabs>
                <w:tab w:val="clear" w:pos="3401"/>
                <w:tab w:val="left" w:pos="3439"/>
              </w:tabs>
              <w:ind w:hanging="105"/>
              <w:jc w:val="left"/>
              <w:rPr>
                <w:b/>
                <w:sz w:val="20"/>
                <w:szCs w:val="22"/>
              </w:rPr>
            </w:pPr>
            <w:r w:rsidRPr="00091035">
              <w:rPr>
                <w:b/>
                <w:sz w:val="20"/>
                <w:szCs w:val="22"/>
              </w:rPr>
              <w:t>Chloride ions diffusion @90d</w:t>
            </w:r>
          </w:p>
        </w:tc>
        <w:tc>
          <w:tcPr>
            <w:tcW w:w="992" w:type="dxa"/>
            <w:vAlign w:val="center"/>
          </w:tcPr>
          <w:p w:rsidR="007C7BE0" w:rsidRPr="00091035" w:rsidRDefault="007F64A9" w:rsidP="007338CC">
            <w:pPr>
              <w:ind w:right="-111" w:hanging="109"/>
              <w:jc w:val="center"/>
              <w:rPr>
                <w:sz w:val="20"/>
                <w:szCs w:val="22"/>
              </w:rPr>
            </w:pPr>
            <w:r w:rsidRPr="00091035">
              <w:rPr>
                <w:sz w:val="20"/>
                <w:szCs w:val="22"/>
              </w:rPr>
              <w:t>10</w:t>
            </w:r>
            <w:r w:rsidRPr="00091035">
              <w:rPr>
                <w:sz w:val="20"/>
                <w:szCs w:val="22"/>
                <w:vertAlign w:val="superscript"/>
              </w:rPr>
              <w:t>-12</w:t>
            </w:r>
            <w:r w:rsidRPr="00091035">
              <w:rPr>
                <w:sz w:val="20"/>
                <w:szCs w:val="22"/>
              </w:rPr>
              <w:t xml:space="preserve"> m²/s</w:t>
            </w:r>
          </w:p>
        </w:tc>
        <w:tc>
          <w:tcPr>
            <w:tcW w:w="1134" w:type="dxa"/>
            <w:vAlign w:val="center"/>
          </w:tcPr>
          <w:p w:rsidR="007C7BE0" w:rsidRPr="00091035" w:rsidRDefault="007F64A9" w:rsidP="007338CC">
            <w:pPr>
              <w:tabs>
                <w:tab w:val="clear" w:pos="1134"/>
                <w:tab w:val="left" w:pos="595"/>
              </w:tabs>
              <w:ind w:right="-112" w:hanging="107"/>
              <w:jc w:val="center"/>
              <w:rPr>
                <w:sz w:val="20"/>
                <w:szCs w:val="22"/>
              </w:rPr>
            </w:pPr>
            <w:r w:rsidRPr="00091035">
              <w:rPr>
                <w:sz w:val="20"/>
                <w:szCs w:val="22"/>
              </w:rPr>
              <w:t>8,8</w:t>
            </w:r>
          </w:p>
        </w:tc>
        <w:tc>
          <w:tcPr>
            <w:tcW w:w="1418" w:type="dxa"/>
            <w:gridSpan w:val="2"/>
            <w:vAlign w:val="center"/>
          </w:tcPr>
          <w:p w:rsidR="007C7BE0" w:rsidRPr="00091035" w:rsidRDefault="007F64A9" w:rsidP="00091035">
            <w:pPr>
              <w:ind w:hanging="105"/>
              <w:jc w:val="center"/>
              <w:rPr>
                <w:sz w:val="20"/>
                <w:szCs w:val="22"/>
              </w:rPr>
            </w:pPr>
            <w:r w:rsidRPr="00091035">
              <w:rPr>
                <w:sz w:val="20"/>
                <w:szCs w:val="22"/>
              </w:rPr>
              <w:t>6,3</w:t>
            </w:r>
          </w:p>
        </w:tc>
        <w:tc>
          <w:tcPr>
            <w:tcW w:w="1404" w:type="dxa"/>
            <w:gridSpan w:val="2"/>
            <w:vAlign w:val="center"/>
          </w:tcPr>
          <w:p w:rsidR="007C7BE0" w:rsidRPr="00091035" w:rsidRDefault="007F64A9" w:rsidP="00091035">
            <w:pPr>
              <w:ind w:firstLine="0"/>
              <w:jc w:val="center"/>
              <w:rPr>
                <w:sz w:val="20"/>
                <w:szCs w:val="22"/>
              </w:rPr>
            </w:pPr>
            <w:r w:rsidRPr="00091035">
              <w:rPr>
                <w:sz w:val="20"/>
                <w:szCs w:val="22"/>
              </w:rPr>
              <w:t>6,7</w:t>
            </w:r>
          </w:p>
        </w:tc>
      </w:tr>
      <w:tr w:rsidR="007C7BE0" w:rsidRPr="00091035" w:rsidTr="007338CC">
        <w:trPr>
          <w:trHeight w:val="340"/>
        </w:trPr>
        <w:tc>
          <w:tcPr>
            <w:tcW w:w="3544" w:type="dxa"/>
            <w:shd w:val="clear" w:color="auto" w:fill="D9D9D9" w:themeFill="background1" w:themeFillShade="D9"/>
            <w:vAlign w:val="center"/>
          </w:tcPr>
          <w:p w:rsidR="007C7BE0" w:rsidRPr="00091035" w:rsidRDefault="007F64A9" w:rsidP="007338CC">
            <w:pPr>
              <w:tabs>
                <w:tab w:val="clear" w:pos="3401"/>
                <w:tab w:val="left" w:pos="3014"/>
              </w:tabs>
              <w:ind w:right="-101" w:hanging="105"/>
              <w:jc w:val="left"/>
              <w:rPr>
                <w:b/>
                <w:sz w:val="20"/>
                <w:szCs w:val="22"/>
              </w:rPr>
            </w:pPr>
            <w:r w:rsidRPr="00091035">
              <w:rPr>
                <w:b/>
                <w:sz w:val="20"/>
                <w:szCs w:val="22"/>
              </w:rPr>
              <w:t>Accelerated carbonation coef. @90d</w:t>
            </w:r>
          </w:p>
        </w:tc>
        <w:tc>
          <w:tcPr>
            <w:tcW w:w="992" w:type="dxa"/>
            <w:shd w:val="clear" w:color="auto" w:fill="D9D9D9" w:themeFill="background1" w:themeFillShade="D9"/>
            <w:vAlign w:val="center"/>
          </w:tcPr>
          <w:p w:rsidR="007C7BE0" w:rsidRPr="00091035" w:rsidRDefault="007F64A9" w:rsidP="007338CC">
            <w:pPr>
              <w:ind w:right="-111" w:hanging="109"/>
              <w:jc w:val="center"/>
              <w:rPr>
                <w:sz w:val="20"/>
                <w:szCs w:val="22"/>
              </w:rPr>
            </w:pPr>
            <w:r w:rsidRPr="00091035">
              <w:rPr>
                <w:sz w:val="20"/>
                <w:szCs w:val="22"/>
              </w:rPr>
              <w:t>mm/d</w:t>
            </w:r>
            <w:r w:rsidR="00091035" w:rsidRPr="00091035">
              <w:rPr>
                <w:sz w:val="20"/>
                <w:szCs w:val="22"/>
                <w:vertAlign w:val="superscript"/>
              </w:rPr>
              <w:t>1/2</w:t>
            </w:r>
          </w:p>
        </w:tc>
        <w:tc>
          <w:tcPr>
            <w:tcW w:w="1134" w:type="dxa"/>
            <w:shd w:val="clear" w:color="auto" w:fill="D9D9D9" w:themeFill="background1" w:themeFillShade="D9"/>
            <w:vAlign w:val="center"/>
          </w:tcPr>
          <w:p w:rsidR="007C7BE0" w:rsidRPr="00091035" w:rsidRDefault="007F64A9" w:rsidP="007338CC">
            <w:pPr>
              <w:tabs>
                <w:tab w:val="clear" w:pos="1134"/>
                <w:tab w:val="left" w:pos="595"/>
              </w:tabs>
              <w:ind w:right="-112" w:hanging="107"/>
              <w:jc w:val="center"/>
              <w:rPr>
                <w:sz w:val="20"/>
                <w:szCs w:val="22"/>
              </w:rPr>
            </w:pPr>
            <w:r w:rsidRPr="00091035">
              <w:rPr>
                <w:sz w:val="20"/>
                <w:szCs w:val="22"/>
              </w:rPr>
              <w:t>0,00</w:t>
            </w:r>
          </w:p>
        </w:tc>
        <w:tc>
          <w:tcPr>
            <w:tcW w:w="1418" w:type="dxa"/>
            <w:gridSpan w:val="2"/>
            <w:shd w:val="clear" w:color="auto" w:fill="D9D9D9" w:themeFill="background1" w:themeFillShade="D9"/>
            <w:vAlign w:val="center"/>
          </w:tcPr>
          <w:p w:rsidR="007C7BE0" w:rsidRPr="00091035" w:rsidRDefault="007F64A9" w:rsidP="00091035">
            <w:pPr>
              <w:ind w:hanging="105"/>
              <w:jc w:val="center"/>
              <w:rPr>
                <w:sz w:val="20"/>
                <w:szCs w:val="22"/>
              </w:rPr>
            </w:pPr>
            <w:r w:rsidRPr="00091035">
              <w:rPr>
                <w:sz w:val="20"/>
                <w:szCs w:val="22"/>
              </w:rPr>
              <w:t>0,00</w:t>
            </w:r>
          </w:p>
        </w:tc>
        <w:tc>
          <w:tcPr>
            <w:tcW w:w="1404" w:type="dxa"/>
            <w:gridSpan w:val="2"/>
            <w:shd w:val="clear" w:color="auto" w:fill="D9D9D9" w:themeFill="background1" w:themeFillShade="D9"/>
            <w:vAlign w:val="center"/>
          </w:tcPr>
          <w:p w:rsidR="007C7BE0" w:rsidRPr="00091035" w:rsidRDefault="007F64A9" w:rsidP="00091035">
            <w:pPr>
              <w:ind w:firstLine="0"/>
              <w:jc w:val="center"/>
              <w:rPr>
                <w:sz w:val="20"/>
                <w:szCs w:val="22"/>
              </w:rPr>
            </w:pPr>
            <w:r w:rsidRPr="00091035">
              <w:rPr>
                <w:sz w:val="20"/>
                <w:szCs w:val="22"/>
              </w:rPr>
              <w:t>0,27</w:t>
            </w:r>
          </w:p>
        </w:tc>
      </w:tr>
    </w:tbl>
    <w:p w:rsidR="007C7BE0" w:rsidRDefault="007F64A9">
      <w:pPr>
        <w:pStyle w:val="Titre1"/>
        <w:ind w:firstLine="0"/>
        <w:rPr>
          <w:sz w:val="24"/>
          <w:szCs w:val="24"/>
        </w:rPr>
      </w:pPr>
      <w:r>
        <w:rPr>
          <w:sz w:val="24"/>
          <w:szCs w:val="24"/>
        </w:rPr>
        <w:lastRenderedPageBreak/>
        <w:t>CONCLUSIONS | FUTURE RESEARCH NEEDS</w:t>
      </w:r>
    </w:p>
    <w:p w:rsidR="007C7BE0" w:rsidRDefault="007F64A9">
      <w:pPr>
        <w:ind w:firstLine="0"/>
      </w:pPr>
      <w:bookmarkStart w:id="0" w:name="_heading=h.yk254ye56187" w:colFirst="0" w:colLast="0"/>
      <w:bookmarkEnd w:id="0"/>
      <w:r>
        <w:t xml:space="preserve">The experimental results for this concrete composition demonstrate that the partial substitution of Portland cement by the </w:t>
      </w:r>
      <w:r w:rsidR="007338CC">
        <w:t>ettringite accelerator</w:t>
      </w:r>
      <w:bookmarkStart w:id="1" w:name="_GoBack"/>
      <w:bookmarkEnd w:id="1"/>
      <w:r>
        <w:t xml:space="preserve"> has a negligible impact on overall durability, despite the expected modification in the proportions of ettringite and calcium-sili</w:t>
      </w:r>
      <w:r>
        <w:t>cate-hydrate (C-S-H) within the formed hydrates, compared to the non-accelerated PC system</w:t>
      </w:r>
      <w:r>
        <w:rPr>
          <w:vertAlign w:val="superscript"/>
        </w:rPr>
        <w:t>7,9</w:t>
      </w:r>
      <w:r>
        <w:t>.</w:t>
      </w:r>
    </w:p>
    <w:p w:rsidR="007C7BE0" w:rsidRDefault="007F64A9">
      <w:pPr>
        <w:tabs>
          <w:tab w:val="left" w:pos="567"/>
        </w:tabs>
        <w:ind w:firstLine="0"/>
      </w:pPr>
      <w:r>
        <w:tab/>
        <w:t>Further investigation is required to quantitatively evaluate the extent of the changes in the hydrate assemblage.</w:t>
      </w:r>
    </w:p>
    <w:p w:rsidR="007C7BE0" w:rsidRDefault="007F64A9">
      <w:pPr>
        <w:tabs>
          <w:tab w:val="left" w:pos="567"/>
        </w:tabs>
        <w:ind w:firstLine="0"/>
      </w:pPr>
      <w:r>
        <w:tab/>
        <w:t>The high drying temperature required by the c</w:t>
      </w:r>
      <w:r>
        <w:t>urrent testing standards to carry out some of the measurements seems to be not well suited for systems with significant ettringite content. This methodological limitation can lead to an overestimation of water absorption and porosity, which is not reflecti</w:t>
      </w:r>
      <w:r>
        <w:t>ve of the true durability performance of such systems.</w:t>
      </w:r>
    </w:p>
    <w:p w:rsidR="007C7BE0" w:rsidRDefault="007F64A9" w:rsidP="007338CC">
      <w:pPr>
        <w:pBdr>
          <w:top w:val="nil"/>
          <w:left w:val="nil"/>
          <w:bottom w:val="nil"/>
          <w:right w:val="nil"/>
          <w:between w:val="nil"/>
        </w:pBdr>
        <w:ind w:firstLine="567"/>
        <w:rPr>
          <w:rFonts w:ascii="Times New Roman" w:eastAsia="Times New Roman" w:hAnsi="Times New Roman" w:cs="Times New Roman"/>
          <w:color w:val="000000"/>
        </w:rPr>
      </w:pPr>
      <w:r>
        <w:rPr>
          <w:color w:val="000000"/>
        </w:rPr>
        <w:t>The concrete composition chosen in this study was revealed to be too dense to allow significant carbonation.  It would be beneficial to repeat the study with a c</w:t>
      </w:r>
      <w:r>
        <w:rPr>
          <w:color w:val="000000"/>
        </w:rPr>
        <w:t xml:space="preserve">omposition more prone to carbonation in order to better evaluate the impact of the </w:t>
      </w:r>
      <w:r>
        <w:t>EA</w:t>
      </w:r>
      <w:r>
        <w:rPr>
          <w:color w:val="000000"/>
        </w:rPr>
        <w:t>.</w:t>
      </w:r>
    </w:p>
    <w:p w:rsidR="007C7BE0" w:rsidRDefault="007F64A9" w:rsidP="007338CC">
      <w:pPr>
        <w:ind w:firstLine="567"/>
        <w:rPr>
          <w:rFonts w:ascii="Times New Roman" w:eastAsia="Times New Roman" w:hAnsi="Times New Roman" w:cs="Times New Roman"/>
        </w:rPr>
      </w:pPr>
      <w:r>
        <w:rPr>
          <w:color w:val="000000"/>
        </w:rPr>
        <w:t xml:space="preserve">A relevant topic for future work is the evaluation of the </w:t>
      </w:r>
      <w:r>
        <w:t>ettringite accelerator</w:t>
      </w:r>
      <w:r>
        <w:rPr>
          <w:color w:val="000000"/>
        </w:rPr>
        <w:t xml:space="preserve"> effect on the durability of low carbon systems, incorporating SCM, which themselves inf</w:t>
      </w:r>
      <w:r>
        <w:rPr>
          <w:color w:val="000000"/>
        </w:rPr>
        <w:t>luence durability performances.</w:t>
      </w:r>
    </w:p>
    <w:p w:rsidR="007C7BE0" w:rsidRDefault="007C7BE0"/>
    <w:p w:rsidR="007C7BE0" w:rsidRDefault="007F64A9">
      <w:pPr>
        <w:pStyle w:val="Titre1"/>
        <w:ind w:firstLine="0"/>
        <w:rPr>
          <w:sz w:val="20"/>
          <w:szCs w:val="20"/>
        </w:rPr>
      </w:pPr>
      <w:r>
        <w:rPr>
          <w:sz w:val="20"/>
          <w:szCs w:val="20"/>
        </w:rPr>
        <w:t>REFERENCES</w:t>
      </w:r>
    </w:p>
    <w:p w:rsidR="007C7BE0" w:rsidRDefault="007F64A9">
      <w:pPr>
        <w:numPr>
          <w:ilvl w:val="0"/>
          <w:numId w:val="1"/>
        </w:numPr>
        <w:ind w:left="283" w:hanging="357"/>
        <w:rPr>
          <w:sz w:val="20"/>
          <w:szCs w:val="20"/>
        </w:rPr>
      </w:pPr>
      <w:r>
        <w:rPr>
          <w:sz w:val="20"/>
          <w:szCs w:val="20"/>
        </w:rPr>
        <w:t xml:space="preserve">J. H. </w:t>
      </w:r>
      <w:proofErr w:type="spellStart"/>
      <w:r>
        <w:rPr>
          <w:sz w:val="20"/>
          <w:szCs w:val="20"/>
        </w:rPr>
        <w:t>Ideker</w:t>
      </w:r>
      <w:proofErr w:type="spellEnd"/>
      <w:r>
        <w:rPr>
          <w:sz w:val="20"/>
          <w:szCs w:val="20"/>
        </w:rPr>
        <w:t xml:space="preserve">, K. L. Scrivener, H. </w:t>
      </w:r>
      <w:proofErr w:type="spellStart"/>
      <w:r>
        <w:rPr>
          <w:sz w:val="20"/>
          <w:szCs w:val="20"/>
        </w:rPr>
        <w:t>Fryda</w:t>
      </w:r>
      <w:proofErr w:type="spellEnd"/>
      <w:r>
        <w:rPr>
          <w:sz w:val="20"/>
          <w:szCs w:val="20"/>
        </w:rPr>
        <w:t xml:space="preserve">, B. </w:t>
      </w:r>
      <w:proofErr w:type="spellStart"/>
      <w:r>
        <w:rPr>
          <w:sz w:val="20"/>
          <w:szCs w:val="20"/>
        </w:rPr>
        <w:t>Touzo</w:t>
      </w:r>
      <w:proofErr w:type="spellEnd"/>
      <w:r>
        <w:rPr>
          <w:sz w:val="20"/>
          <w:szCs w:val="20"/>
        </w:rPr>
        <w:t xml:space="preserve">, 12 - Calcium Aluminate Cements, Editor(s): Peter C. Hewlett, Martin </w:t>
      </w:r>
      <w:proofErr w:type="spellStart"/>
      <w:r>
        <w:rPr>
          <w:sz w:val="20"/>
          <w:szCs w:val="20"/>
        </w:rPr>
        <w:t>Liska</w:t>
      </w:r>
      <w:proofErr w:type="spellEnd"/>
      <w:r>
        <w:rPr>
          <w:sz w:val="20"/>
          <w:szCs w:val="20"/>
        </w:rPr>
        <w:t>, Lea's Chemistry of Cement and Concrete (Fifth Edition), Butterworth-Heinemann, 2019, P</w:t>
      </w:r>
      <w:r>
        <w:rPr>
          <w:sz w:val="20"/>
          <w:szCs w:val="20"/>
        </w:rPr>
        <w:t>ages 537-584.</w:t>
      </w:r>
    </w:p>
    <w:p w:rsidR="007C7BE0" w:rsidRDefault="007F64A9">
      <w:pPr>
        <w:numPr>
          <w:ilvl w:val="0"/>
          <w:numId w:val="1"/>
        </w:numPr>
        <w:ind w:left="283" w:hanging="357"/>
        <w:rPr>
          <w:sz w:val="20"/>
          <w:szCs w:val="20"/>
        </w:rPr>
      </w:pPr>
      <w:r>
        <w:rPr>
          <w:sz w:val="20"/>
          <w:szCs w:val="20"/>
        </w:rPr>
        <w:t xml:space="preserve">J. </w:t>
      </w:r>
      <w:proofErr w:type="spellStart"/>
      <w:r>
        <w:rPr>
          <w:sz w:val="20"/>
          <w:szCs w:val="20"/>
        </w:rPr>
        <w:t>Nehring</w:t>
      </w:r>
      <w:proofErr w:type="spellEnd"/>
      <w:r>
        <w:rPr>
          <w:sz w:val="20"/>
          <w:szCs w:val="20"/>
        </w:rPr>
        <w:t>, J. Neubauer, S. Berger, F. Goetz-</w:t>
      </w:r>
      <w:proofErr w:type="spellStart"/>
      <w:r>
        <w:rPr>
          <w:sz w:val="20"/>
          <w:szCs w:val="20"/>
        </w:rPr>
        <w:t>Neunhoeffer</w:t>
      </w:r>
      <w:proofErr w:type="spellEnd"/>
      <w:r>
        <w:rPr>
          <w:sz w:val="20"/>
          <w:szCs w:val="20"/>
        </w:rPr>
        <w:t xml:space="preserve">, Acceleration of OPC by CAC in binary and ternary systems: The role of pore solution chemistry, Cement and Concrete Research, Volume 107, 2018, Pages 264-274 </w:t>
      </w:r>
    </w:p>
    <w:p w:rsidR="007C7BE0" w:rsidRDefault="007F64A9">
      <w:pPr>
        <w:numPr>
          <w:ilvl w:val="0"/>
          <w:numId w:val="1"/>
        </w:numPr>
        <w:ind w:left="283" w:hanging="357"/>
        <w:rPr>
          <w:sz w:val="20"/>
          <w:szCs w:val="20"/>
        </w:rPr>
      </w:pPr>
      <w:r>
        <w:rPr>
          <w:sz w:val="20"/>
          <w:szCs w:val="20"/>
        </w:rPr>
        <w:t xml:space="preserve">M. Antoni, J. </w:t>
      </w:r>
      <w:proofErr w:type="spellStart"/>
      <w:r>
        <w:rPr>
          <w:sz w:val="20"/>
          <w:szCs w:val="20"/>
        </w:rPr>
        <w:t>Rossen</w:t>
      </w:r>
      <w:proofErr w:type="spellEnd"/>
      <w:r>
        <w:rPr>
          <w:sz w:val="20"/>
          <w:szCs w:val="20"/>
        </w:rPr>
        <w:t xml:space="preserve">, F. </w:t>
      </w:r>
      <w:proofErr w:type="spellStart"/>
      <w:r>
        <w:rPr>
          <w:sz w:val="20"/>
          <w:szCs w:val="20"/>
        </w:rPr>
        <w:t>Martirena</w:t>
      </w:r>
      <w:proofErr w:type="spellEnd"/>
      <w:r>
        <w:rPr>
          <w:sz w:val="20"/>
          <w:szCs w:val="20"/>
        </w:rPr>
        <w:t xml:space="preserve">, K. Scrivener, Cement substitution by a combination of metakaolin and limestone, Cement and Concrete Research, Volume 42, Issue 12, 2012, Pages 1579-1589 </w:t>
      </w:r>
    </w:p>
    <w:p w:rsidR="007C7BE0" w:rsidRDefault="007F64A9">
      <w:pPr>
        <w:numPr>
          <w:ilvl w:val="0"/>
          <w:numId w:val="1"/>
        </w:numPr>
        <w:ind w:left="283" w:hanging="357"/>
        <w:rPr>
          <w:sz w:val="20"/>
          <w:szCs w:val="20"/>
        </w:rPr>
      </w:pPr>
      <w:r>
        <w:rPr>
          <w:sz w:val="20"/>
          <w:szCs w:val="20"/>
        </w:rPr>
        <w:t xml:space="preserve">S. </w:t>
      </w:r>
      <w:proofErr w:type="spellStart"/>
      <w:r>
        <w:rPr>
          <w:sz w:val="20"/>
          <w:szCs w:val="20"/>
        </w:rPr>
        <w:t>Lamberet</w:t>
      </w:r>
      <w:proofErr w:type="spellEnd"/>
      <w:r>
        <w:rPr>
          <w:sz w:val="20"/>
          <w:szCs w:val="20"/>
        </w:rPr>
        <w:t>, Durability of ternary binders based on Portland cemen</w:t>
      </w:r>
      <w:r>
        <w:rPr>
          <w:sz w:val="20"/>
          <w:szCs w:val="20"/>
        </w:rPr>
        <w:t>t, Calcium Aluminate Cement and Calcium Sulfate, PhD Thesis, EPFL, 2004.</w:t>
      </w:r>
    </w:p>
    <w:p w:rsidR="007C7BE0" w:rsidRDefault="007F64A9">
      <w:pPr>
        <w:numPr>
          <w:ilvl w:val="0"/>
          <w:numId w:val="1"/>
        </w:numPr>
        <w:ind w:left="283" w:hanging="357"/>
        <w:rPr>
          <w:sz w:val="20"/>
          <w:szCs w:val="20"/>
        </w:rPr>
      </w:pPr>
      <w:r>
        <w:rPr>
          <w:sz w:val="20"/>
          <w:szCs w:val="20"/>
        </w:rPr>
        <w:t>E. G. Moffatt, Durability of rapid-set (ettringite-based) concrete, PhD Thesis, University of New Brunswick, 2011.</w:t>
      </w:r>
    </w:p>
    <w:p w:rsidR="007C7BE0" w:rsidRDefault="007F64A9">
      <w:pPr>
        <w:numPr>
          <w:ilvl w:val="0"/>
          <w:numId w:val="1"/>
        </w:numPr>
        <w:ind w:left="283" w:hanging="357"/>
        <w:rPr>
          <w:sz w:val="20"/>
          <w:szCs w:val="20"/>
        </w:rPr>
      </w:pPr>
      <w:r>
        <w:rPr>
          <w:sz w:val="20"/>
          <w:szCs w:val="20"/>
        </w:rPr>
        <w:t xml:space="preserve">R. D. Lute, Durability of calcium-aluminate based binders for rapid </w:t>
      </w:r>
      <w:r>
        <w:rPr>
          <w:sz w:val="20"/>
          <w:szCs w:val="20"/>
        </w:rPr>
        <w:t>repair applications, PhD Thesis, The University of Texas at Austin, 2016.</w:t>
      </w:r>
    </w:p>
    <w:p w:rsidR="007C7BE0" w:rsidRDefault="007F64A9">
      <w:pPr>
        <w:numPr>
          <w:ilvl w:val="0"/>
          <w:numId w:val="1"/>
        </w:numPr>
        <w:ind w:left="283" w:hanging="357"/>
        <w:rPr>
          <w:sz w:val="20"/>
          <w:szCs w:val="20"/>
        </w:rPr>
      </w:pPr>
      <w:r>
        <w:rPr>
          <w:sz w:val="20"/>
          <w:szCs w:val="20"/>
        </w:rPr>
        <w:t xml:space="preserve">S. El </w:t>
      </w:r>
      <w:proofErr w:type="spellStart"/>
      <w:r>
        <w:rPr>
          <w:sz w:val="20"/>
          <w:szCs w:val="20"/>
        </w:rPr>
        <w:t>Housseini</w:t>
      </w:r>
      <w:proofErr w:type="spellEnd"/>
      <w:r>
        <w:rPr>
          <w:sz w:val="20"/>
          <w:szCs w:val="20"/>
        </w:rPr>
        <w:t>, Hydration and durability of fast hardening binders incorporating supplementary cementitious materials, PhD Thesis, EPFL, 2022.</w:t>
      </w:r>
    </w:p>
    <w:p w:rsidR="007C7BE0" w:rsidRDefault="007F64A9">
      <w:pPr>
        <w:numPr>
          <w:ilvl w:val="0"/>
          <w:numId w:val="1"/>
        </w:numPr>
        <w:ind w:left="283" w:hanging="357"/>
        <w:rPr>
          <w:sz w:val="20"/>
          <w:szCs w:val="20"/>
        </w:rPr>
      </w:pPr>
      <w:r>
        <w:rPr>
          <w:sz w:val="20"/>
          <w:szCs w:val="20"/>
        </w:rPr>
        <w:t xml:space="preserve">H.Y. </w:t>
      </w:r>
      <w:proofErr w:type="spellStart"/>
      <w:r>
        <w:rPr>
          <w:sz w:val="20"/>
          <w:szCs w:val="20"/>
        </w:rPr>
        <w:t>Ghorab</w:t>
      </w:r>
      <w:proofErr w:type="spellEnd"/>
      <w:r>
        <w:rPr>
          <w:sz w:val="20"/>
          <w:szCs w:val="20"/>
        </w:rPr>
        <w:t>, &amp; U. Ludwig, On the stabi</w:t>
      </w:r>
      <w:r>
        <w:rPr>
          <w:sz w:val="20"/>
          <w:szCs w:val="20"/>
        </w:rPr>
        <w:t>lity of calcium aluminate sulphate hydrates in pure systems and in cements, Proceedings of the 7th International Congress on the Chemistry of Cement, Paris, Vol. IV, pp. 496-503</w:t>
      </w:r>
    </w:p>
    <w:p w:rsidR="007C7BE0" w:rsidRDefault="007F64A9">
      <w:pPr>
        <w:numPr>
          <w:ilvl w:val="0"/>
          <w:numId w:val="1"/>
        </w:numPr>
        <w:ind w:left="283" w:hanging="357"/>
        <w:rPr>
          <w:sz w:val="20"/>
          <w:szCs w:val="20"/>
        </w:rPr>
      </w:pPr>
      <w:r>
        <w:rPr>
          <w:sz w:val="20"/>
          <w:szCs w:val="20"/>
        </w:rPr>
        <w:t xml:space="preserve">S. El </w:t>
      </w:r>
      <w:proofErr w:type="spellStart"/>
      <w:r>
        <w:rPr>
          <w:sz w:val="20"/>
          <w:szCs w:val="20"/>
        </w:rPr>
        <w:t>Housseini</w:t>
      </w:r>
      <w:proofErr w:type="spellEnd"/>
      <w:r>
        <w:rPr>
          <w:sz w:val="20"/>
          <w:szCs w:val="20"/>
        </w:rPr>
        <w:t xml:space="preserve">, B. </w:t>
      </w:r>
      <w:proofErr w:type="spellStart"/>
      <w:r>
        <w:rPr>
          <w:sz w:val="20"/>
          <w:szCs w:val="20"/>
        </w:rPr>
        <w:t>Benevenuti</w:t>
      </w:r>
      <w:proofErr w:type="spellEnd"/>
      <w:r>
        <w:rPr>
          <w:sz w:val="20"/>
          <w:szCs w:val="20"/>
        </w:rPr>
        <w:t xml:space="preserve">, H. </w:t>
      </w:r>
      <w:proofErr w:type="spellStart"/>
      <w:r>
        <w:rPr>
          <w:sz w:val="20"/>
          <w:szCs w:val="20"/>
        </w:rPr>
        <w:t>Fryda</w:t>
      </w:r>
      <w:proofErr w:type="spellEnd"/>
      <w:r>
        <w:rPr>
          <w:sz w:val="20"/>
          <w:szCs w:val="20"/>
        </w:rPr>
        <w:t xml:space="preserve">, M. </w:t>
      </w:r>
      <w:proofErr w:type="spellStart"/>
      <w:r>
        <w:rPr>
          <w:sz w:val="20"/>
          <w:szCs w:val="20"/>
        </w:rPr>
        <w:t>Chambon</w:t>
      </w:r>
      <w:proofErr w:type="spellEnd"/>
      <w:r>
        <w:rPr>
          <w:sz w:val="20"/>
          <w:szCs w:val="20"/>
        </w:rPr>
        <w:t>, Understanding the streng</w:t>
      </w:r>
      <w:r>
        <w:rPr>
          <w:sz w:val="20"/>
          <w:szCs w:val="20"/>
        </w:rPr>
        <w:t>th development of self-compacting concrete formulation incorporating ettringite accelerator as strength booster, Proceedings of the International Conference on Calcium Aluminates, Lausanne, 2026.</w:t>
      </w:r>
    </w:p>
    <w:sectPr w:rsidR="007C7BE0">
      <w:footerReference w:type="even" r:id="rId9"/>
      <w:footerReference w:type="default" r:id="rId10"/>
      <w:headerReference w:type="first" r:id="rId11"/>
      <w:footerReference w:type="first" r:id="rId12"/>
      <w:pgSz w:w="11905" w:h="16837"/>
      <w:pgMar w:top="1699" w:right="1699" w:bottom="1699" w:left="1699"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4A9" w:rsidRDefault="007F64A9">
      <w:r>
        <w:separator/>
      </w:r>
    </w:p>
  </w:endnote>
  <w:endnote w:type="continuationSeparator" w:id="0">
    <w:p w:rsidR="007F64A9" w:rsidRDefault="007F6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notTrueType/>
    <w:pitch w:val="default"/>
    <w:embedRegular r:id="rId1" w:fontKey="{FEE77E55-B6DD-4C9A-83FD-ABB6B230B190}"/>
  </w:font>
  <w:font w:name="Tahoma">
    <w:panose1 w:val="020B0604030504040204"/>
    <w:charset w:val="00"/>
    <w:family w:val="roman"/>
    <w:notTrueType/>
    <w:pitch w:val="default"/>
    <w:embedRegular r:id="rId2" w:fontKey="{594BCD08-04A1-4288-9C20-CF3F59D08F0D}"/>
  </w:font>
  <w:font w:name="Georgia">
    <w:panose1 w:val="02040502050405020303"/>
    <w:charset w:val="00"/>
    <w:family w:val="roman"/>
    <w:pitch w:val="variable"/>
    <w:sig w:usb0="00000287" w:usb1="00000000" w:usb2="00000000" w:usb3="00000000" w:csb0="0000009F" w:csb1="00000000"/>
    <w:embedItalic r:id="rId3" w:fontKey="{3EFECE65-8469-436C-ADD6-6F491B0DC09A}"/>
  </w:font>
  <w:font w:name="Cambria">
    <w:panose1 w:val="02040503050406030204"/>
    <w:charset w:val="00"/>
    <w:family w:val="roman"/>
    <w:pitch w:val="variable"/>
    <w:sig w:usb0="E00006FF" w:usb1="420024FF" w:usb2="02000000" w:usb3="00000000" w:csb0="0000019F" w:csb1="00000000"/>
    <w:embedRegular r:id="rId4" w:fontKey="{AE26DC7F-3441-41D9-B97A-7642968C0FE0}"/>
  </w:font>
  <w:font w:name="Calibri">
    <w:panose1 w:val="020F0502020204030204"/>
    <w:charset w:val="00"/>
    <w:family w:val="swiss"/>
    <w:pitch w:val="variable"/>
    <w:sig w:usb0="E4002EFF" w:usb1="C200247B" w:usb2="00000009" w:usb3="00000000" w:csb0="000001FF" w:csb1="00000000"/>
    <w:embedRegular r:id="rId5" w:fontKey="{2E229BC6-606A-4E82-9208-383F4B5FAD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BE0" w:rsidRDefault="007F64A9">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end"/>
    </w:r>
  </w:p>
  <w:p w:rsidR="007C7BE0" w:rsidRDefault="007C7BE0">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BE0" w:rsidRDefault="007F64A9">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sidR="00091035">
      <w:rPr>
        <w:color w:val="000000"/>
      </w:rPr>
      <w:fldChar w:fldCharType="separate"/>
    </w:r>
    <w:r w:rsidR="00091035">
      <w:rPr>
        <w:noProof/>
        <w:color w:val="000000"/>
      </w:rPr>
      <w:t>2</w:t>
    </w:r>
    <w:r>
      <w:rPr>
        <w:color w:val="000000"/>
      </w:rPr>
      <w:fldChar w:fldCharType="end"/>
    </w:r>
  </w:p>
  <w:p w:rsidR="007C7BE0" w:rsidRDefault="007C7BE0">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BE0" w:rsidRDefault="007F64A9">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sidR="00091035">
      <w:rPr>
        <w:color w:val="000000"/>
      </w:rPr>
      <w:fldChar w:fldCharType="separate"/>
    </w:r>
    <w:r w:rsidR="00091035">
      <w:rPr>
        <w:noProof/>
        <w:color w:val="000000"/>
      </w:rPr>
      <w:t>1</w:t>
    </w:r>
    <w:r>
      <w:rPr>
        <w:color w:val="000000"/>
      </w:rPr>
      <w:fldChar w:fldCharType="end"/>
    </w:r>
  </w:p>
  <w:p w:rsidR="007C7BE0" w:rsidRDefault="007F64A9">
    <w:pPr>
      <w:pBdr>
        <w:top w:val="nil"/>
        <w:left w:val="nil"/>
        <w:bottom w:val="nil"/>
        <w:right w:val="nil"/>
        <w:between w:val="nil"/>
      </w:pBdr>
      <w:tabs>
        <w:tab w:val="center" w:pos="4680"/>
        <w:tab w:val="right" w:pos="9360"/>
      </w:tabs>
      <w:rPr>
        <w:color w:val="000000"/>
      </w:rPr>
    </w:pPr>
    <w:r>
      <w:rPr>
        <w:color w:val="000000"/>
      </w:rPr>
      <w:t>*</w:t>
    </w:r>
    <w:r>
      <w:t>barbara.benevenuti@imerys.com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4A9" w:rsidRDefault="007F64A9">
      <w:r>
        <w:separator/>
      </w:r>
    </w:p>
  </w:footnote>
  <w:footnote w:type="continuationSeparator" w:id="0">
    <w:p w:rsidR="007F64A9" w:rsidRDefault="007F64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BE0" w:rsidRDefault="007F64A9">
    <w:pPr>
      <w:pBdr>
        <w:top w:val="nil"/>
        <w:left w:val="nil"/>
        <w:bottom w:val="nil"/>
        <w:right w:val="nil"/>
        <w:between w:val="nil"/>
      </w:pBdr>
      <w:tabs>
        <w:tab w:val="center" w:pos="4680"/>
        <w:tab w:val="right" w:pos="9360"/>
      </w:tabs>
      <w:rPr>
        <w:color w:val="000000"/>
      </w:rPr>
    </w:pPr>
    <w:r>
      <w:rPr>
        <w:noProof/>
        <w:color w:val="000000"/>
      </w:rPr>
      <w:drawing>
        <wp:inline distT="0" distB="0" distL="0" distR="0">
          <wp:extent cx="3926251" cy="1216047"/>
          <wp:effectExtent l="0" t="0" r="0" b="0"/>
          <wp:docPr id="12" name="image2.png" descr="A close-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close-up of a logo&#10;&#10;Description automatically generated"/>
                  <pic:cNvPicPr preferRelativeResize="0"/>
                </pic:nvPicPr>
                <pic:blipFill>
                  <a:blip r:embed="rId1"/>
                  <a:srcRect/>
                  <a:stretch>
                    <a:fillRect/>
                  </a:stretch>
                </pic:blipFill>
                <pic:spPr>
                  <a:xfrm>
                    <a:off x="0" y="0"/>
                    <a:ext cx="3926251" cy="121604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1A0791"/>
    <w:multiLevelType w:val="multilevel"/>
    <w:tmpl w:val="CA3AA232"/>
    <w:lvl w:ilvl="0">
      <w:start w:val="1"/>
      <w:numFmt w:val="decimal"/>
      <w:pStyle w:val="Notedefi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ECF3244"/>
    <w:multiLevelType w:val="multilevel"/>
    <w:tmpl w:val="45F434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BE0"/>
    <w:rsid w:val="00091035"/>
    <w:rsid w:val="007338CC"/>
    <w:rsid w:val="007C7BE0"/>
    <w:rsid w:val="007F64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CA7FE"/>
  <w15:docId w15:val="{C016EC42-A9E4-4F43-9C9E-55CDE973E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 w:eastAsia="fr-FR" w:bidi="ar-SA"/>
      </w:rPr>
    </w:rPrDefault>
    <w:pPrDefault>
      <w:pPr>
        <w:tabs>
          <w:tab w:val="left" w:pos="0"/>
          <w:tab w:val="left" w:pos="1134"/>
          <w:tab w:val="left" w:pos="1700"/>
          <w:tab w:val="left" w:pos="2267"/>
          <w:tab w:val="left" w:pos="2834"/>
          <w:tab w:val="left" w:pos="3401"/>
          <w:tab w:val="left" w:pos="3967"/>
          <w:tab w:val="left" w:pos="4535"/>
          <w:tab w:val="left" w:pos="5101"/>
          <w:tab w:val="left" w:pos="5668"/>
          <w:tab w:val="left" w:pos="6235"/>
          <w:tab w:val="left" w:pos="6802"/>
          <w:tab w:val="left" w:pos="7368"/>
          <w:tab w:val="left" w:pos="7936"/>
          <w:tab w:val="left" w:pos="8502"/>
          <w:tab w:val="left" w:pos="9068"/>
          <w:tab w:val="left" w:pos="9636"/>
          <w:tab w:val="left" w:pos="10202"/>
        </w:tabs>
        <w:ind w:firstLine="53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120"/>
      <w:jc w:val="center"/>
      <w:outlineLvl w:val="0"/>
    </w:pPr>
    <w:rPr>
      <w:b/>
      <w:bCs/>
      <w:smallCaps/>
      <w:color w:val="000000"/>
      <w:sz w:val="28"/>
      <w:szCs w:val="28"/>
    </w:rPr>
  </w:style>
  <w:style w:type="paragraph" w:styleId="Titre2">
    <w:name w:val="heading 2"/>
    <w:basedOn w:val="Normal"/>
    <w:next w:val="Normal"/>
    <w:uiPriority w:val="9"/>
    <w:unhideWhenUsed/>
    <w:qFormat/>
    <w:pPr>
      <w:keepNext/>
      <w:keepLines/>
      <w:jc w:val="center"/>
      <w:outlineLvl w:val="1"/>
    </w:pPr>
    <w:rPr>
      <w:b/>
      <w:bCs/>
      <w:color w:val="000000"/>
    </w:rPr>
  </w:style>
  <w:style w:type="paragraph" w:styleId="Titre3">
    <w:name w:val="heading 3"/>
    <w:basedOn w:val="Normal"/>
    <w:next w:val="Normal"/>
    <w:uiPriority w:val="9"/>
    <w:semiHidden/>
    <w:unhideWhenUsed/>
    <w:qFormat/>
    <w:pPr>
      <w:keepNext/>
      <w:keepLines/>
      <w:spacing w:before="40"/>
      <w:outlineLvl w:val="2"/>
    </w:pPr>
    <w:rPr>
      <w:b/>
      <w:bCs/>
      <w:color w:val="000000"/>
    </w:rPr>
  </w:style>
  <w:style w:type="paragraph" w:styleId="Titre4">
    <w:name w:val="heading 4"/>
    <w:basedOn w:val="Normal"/>
    <w:next w:val="Normal"/>
    <w:uiPriority w:val="9"/>
    <w:semiHidden/>
    <w:unhideWhenUsed/>
    <w:qFormat/>
    <w:pPr>
      <w:keepNext/>
      <w:keepLines/>
      <w:spacing w:before="40"/>
      <w:outlineLvl w:val="3"/>
    </w:pPr>
    <w:rPr>
      <w:color w:val="000000"/>
      <w:u w:val="single"/>
    </w:rPr>
  </w:style>
  <w:style w:type="paragraph" w:styleId="Titre5">
    <w:name w:val="heading 5"/>
    <w:basedOn w:val="Normal"/>
    <w:next w:val="Normal"/>
    <w:uiPriority w:val="9"/>
    <w:semiHidden/>
    <w:unhideWhenUsed/>
    <w:qFormat/>
    <w:pPr>
      <w:keepNext/>
      <w:keepLines/>
      <w:spacing w:before="40"/>
      <w:outlineLvl w:val="4"/>
    </w:pPr>
    <w:rPr>
      <w:i/>
      <w:iCs/>
      <w:color w:val="000000"/>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character" w:styleId="Lienhypertexte">
    <w:name w:val="Hyperlink"/>
    <w:basedOn w:val="Policepardfaut"/>
    <w:uiPriority w:val="99"/>
    <w:unhideWhenUsed/>
    <w:rsid w:val="00157720"/>
    <w:rPr>
      <w:color w:val="0000FF" w:themeColor="hyperlink"/>
      <w:u w:val="single"/>
    </w:rPr>
  </w:style>
  <w:style w:type="paragraph" w:customStyle="1" w:styleId="Legal1">
    <w:name w:val="Legal 1"/>
    <w:basedOn w:val="Normal"/>
    <w:rsid w:val="009509E1"/>
    <w:pPr>
      <w:widowControl w:val="0"/>
    </w:pPr>
  </w:style>
  <w:style w:type="paragraph" w:customStyle="1" w:styleId="Legal2">
    <w:name w:val="Legal 2"/>
    <w:basedOn w:val="Normal"/>
    <w:rsid w:val="009509E1"/>
    <w:pPr>
      <w:widowControl w:val="0"/>
    </w:pPr>
  </w:style>
  <w:style w:type="paragraph" w:customStyle="1" w:styleId="Legal3">
    <w:name w:val="Legal 3"/>
    <w:basedOn w:val="Normal"/>
    <w:rsid w:val="009509E1"/>
    <w:pPr>
      <w:widowControl w:val="0"/>
    </w:pPr>
  </w:style>
  <w:style w:type="paragraph" w:customStyle="1" w:styleId="Legal4">
    <w:name w:val="Legal 4"/>
    <w:basedOn w:val="Normal"/>
    <w:rsid w:val="009509E1"/>
    <w:pPr>
      <w:widowControl w:val="0"/>
    </w:pPr>
  </w:style>
  <w:style w:type="paragraph" w:customStyle="1" w:styleId="Legal5">
    <w:name w:val="Legal 5"/>
    <w:basedOn w:val="Normal"/>
    <w:rsid w:val="009509E1"/>
    <w:pPr>
      <w:widowControl w:val="0"/>
    </w:pPr>
  </w:style>
  <w:style w:type="paragraph" w:customStyle="1" w:styleId="Legal6">
    <w:name w:val="Legal 6"/>
    <w:basedOn w:val="Normal"/>
    <w:rsid w:val="009509E1"/>
    <w:pPr>
      <w:widowControl w:val="0"/>
    </w:pPr>
  </w:style>
  <w:style w:type="paragraph" w:customStyle="1" w:styleId="Legal7">
    <w:name w:val="Legal 7"/>
    <w:basedOn w:val="Normal"/>
    <w:rsid w:val="009509E1"/>
    <w:pPr>
      <w:widowControl w:val="0"/>
    </w:pPr>
  </w:style>
  <w:style w:type="paragraph" w:customStyle="1" w:styleId="Legal8">
    <w:name w:val="Legal 8"/>
    <w:basedOn w:val="Normal"/>
    <w:rsid w:val="009509E1"/>
    <w:pPr>
      <w:widowControl w:val="0"/>
    </w:pPr>
  </w:style>
  <w:style w:type="paragraph" w:customStyle="1" w:styleId="Legal9">
    <w:name w:val="Legal 9"/>
    <w:basedOn w:val="Normal"/>
    <w:rsid w:val="009509E1"/>
    <w:pPr>
      <w:widowControl w:val="0"/>
    </w:pPr>
  </w:style>
  <w:style w:type="paragraph" w:styleId="Notedebasdepage">
    <w:name w:val="footnote text"/>
    <w:basedOn w:val="Normal"/>
    <w:semiHidden/>
    <w:rsid w:val="009509E1"/>
    <w:pPr>
      <w:tabs>
        <w:tab w:val="left" w:pos="566"/>
      </w:tabs>
    </w:pPr>
  </w:style>
  <w:style w:type="character" w:styleId="Appelnotedebasdep">
    <w:name w:val="footnote reference"/>
    <w:basedOn w:val="Policepardfaut"/>
    <w:semiHidden/>
    <w:rsid w:val="009509E1"/>
    <w:rPr>
      <w:vertAlign w:val="superscript"/>
    </w:rPr>
  </w:style>
  <w:style w:type="character" w:styleId="Appeldenotedefin">
    <w:name w:val="endnote reference"/>
    <w:basedOn w:val="Policepardfaut"/>
    <w:semiHidden/>
    <w:rsid w:val="009509E1"/>
  </w:style>
  <w:style w:type="paragraph" w:styleId="Notedefin">
    <w:name w:val="endnote text"/>
    <w:basedOn w:val="Normal"/>
    <w:link w:val="NotedefinCar"/>
    <w:semiHidden/>
    <w:rsid w:val="009509E1"/>
    <w:pPr>
      <w:numPr>
        <w:numId w:val="2"/>
      </w:numPr>
    </w:pPr>
    <w:rPr>
      <w:rFonts w:ascii="Garamond" w:hAnsi="Garamond"/>
      <w:sz w:val="20"/>
    </w:rPr>
  </w:style>
  <w:style w:type="character" w:customStyle="1" w:styleId="SYSHYPERTEXT">
    <w:name w:val="SYS_HYPERTEXT"/>
    <w:basedOn w:val="Policepardfaut"/>
    <w:rsid w:val="009509E1"/>
    <w:rPr>
      <w:color w:val="0000FF"/>
      <w:u w:val="single"/>
    </w:rPr>
  </w:style>
  <w:style w:type="character" w:customStyle="1" w:styleId="NotedefinCar">
    <w:name w:val="Note de fin Car"/>
    <w:basedOn w:val="Policepardfaut"/>
    <w:link w:val="Notedefin"/>
    <w:semiHidden/>
    <w:rsid w:val="00157720"/>
    <w:rPr>
      <w:rFonts w:ascii="Garamond" w:hAnsi="Garamond"/>
      <w:lang w:val="en-GB" w:eastAsia="en-US"/>
    </w:rPr>
  </w:style>
  <w:style w:type="paragraph" w:styleId="Textedebulles">
    <w:name w:val="Balloon Text"/>
    <w:basedOn w:val="Normal"/>
    <w:link w:val="TextedebullesCar"/>
    <w:uiPriority w:val="99"/>
    <w:semiHidden/>
    <w:unhideWhenUsed/>
    <w:rsid w:val="00157720"/>
    <w:rPr>
      <w:rFonts w:ascii="Tahoma" w:hAnsi="Tahoma" w:cs="Tahoma"/>
      <w:sz w:val="16"/>
      <w:szCs w:val="16"/>
    </w:rPr>
  </w:style>
  <w:style w:type="character" w:customStyle="1" w:styleId="TextedebullesCar">
    <w:name w:val="Texte de bulles Car"/>
    <w:basedOn w:val="Policepardfaut"/>
    <w:link w:val="Textedebulles"/>
    <w:uiPriority w:val="99"/>
    <w:semiHidden/>
    <w:rsid w:val="00157720"/>
    <w:rPr>
      <w:rFonts w:ascii="Tahoma" w:hAnsi="Tahoma" w:cs="Tahoma"/>
      <w:sz w:val="16"/>
      <w:szCs w:val="16"/>
      <w:lang w:val="en-US" w:eastAsia="en-US"/>
    </w:rPr>
  </w:style>
  <w:style w:type="character" w:styleId="Marquedecommentaire">
    <w:name w:val="annotation reference"/>
    <w:basedOn w:val="Policepardfaut"/>
    <w:uiPriority w:val="99"/>
    <w:semiHidden/>
    <w:unhideWhenUsed/>
    <w:rsid w:val="00351528"/>
    <w:rPr>
      <w:sz w:val="16"/>
      <w:szCs w:val="16"/>
    </w:rPr>
  </w:style>
  <w:style w:type="paragraph" w:styleId="Commentaire">
    <w:name w:val="annotation text"/>
    <w:basedOn w:val="Normal"/>
    <w:link w:val="CommentaireCar"/>
    <w:uiPriority w:val="99"/>
    <w:semiHidden/>
    <w:unhideWhenUsed/>
    <w:rsid w:val="00351528"/>
    <w:rPr>
      <w:sz w:val="20"/>
    </w:rPr>
  </w:style>
  <w:style w:type="character" w:customStyle="1" w:styleId="CommentaireCar">
    <w:name w:val="Commentaire Car"/>
    <w:basedOn w:val="Policepardfaut"/>
    <w:link w:val="Commentaire"/>
    <w:uiPriority w:val="99"/>
    <w:semiHidden/>
    <w:rsid w:val="00351528"/>
    <w:rPr>
      <w:lang w:val="en-US" w:eastAsia="en-US"/>
    </w:rPr>
  </w:style>
  <w:style w:type="paragraph" w:styleId="Objetducommentaire">
    <w:name w:val="annotation subject"/>
    <w:basedOn w:val="Commentaire"/>
    <w:next w:val="Commentaire"/>
    <w:link w:val="ObjetducommentaireCar"/>
    <w:uiPriority w:val="99"/>
    <w:semiHidden/>
    <w:unhideWhenUsed/>
    <w:rsid w:val="00351528"/>
    <w:rPr>
      <w:b/>
      <w:bCs/>
    </w:rPr>
  </w:style>
  <w:style w:type="character" w:customStyle="1" w:styleId="ObjetducommentaireCar">
    <w:name w:val="Objet du commentaire Car"/>
    <w:basedOn w:val="CommentaireCar"/>
    <w:link w:val="Objetducommentaire"/>
    <w:uiPriority w:val="99"/>
    <w:semiHidden/>
    <w:rsid w:val="00351528"/>
    <w:rPr>
      <w:b/>
      <w:bCs/>
      <w:lang w:val="en-US" w:eastAsia="en-US"/>
    </w:rPr>
  </w:style>
  <w:style w:type="paragraph" w:customStyle="1" w:styleId="EndNoteBibliographyTitle">
    <w:name w:val="EndNote Bibliography Title"/>
    <w:basedOn w:val="Normal"/>
    <w:rsid w:val="001D1CBD"/>
    <w:pPr>
      <w:jc w:val="center"/>
    </w:pPr>
  </w:style>
  <w:style w:type="paragraph" w:customStyle="1" w:styleId="EndNoteBibliography">
    <w:name w:val="EndNote Bibliography"/>
    <w:basedOn w:val="Normal"/>
    <w:rsid w:val="001D1CBD"/>
  </w:style>
  <w:style w:type="paragraph" w:styleId="Paragraphedeliste">
    <w:name w:val="List Paragraph"/>
    <w:basedOn w:val="Normal"/>
    <w:uiPriority w:val="34"/>
    <w:qFormat/>
    <w:rsid w:val="00E57B0F"/>
    <w:pPr>
      <w:ind w:left="720"/>
      <w:contextualSpacing/>
    </w:pPr>
  </w:style>
  <w:style w:type="paragraph" w:styleId="Lgende">
    <w:name w:val="caption"/>
    <w:basedOn w:val="Normal"/>
    <w:next w:val="Normal"/>
    <w:uiPriority w:val="35"/>
    <w:unhideWhenUsed/>
    <w:qFormat/>
    <w:rsid w:val="00DD3D0E"/>
    <w:pPr>
      <w:spacing w:after="200"/>
      <w:jc w:val="center"/>
    </w:pPr>
    <w:rPr>
      <w:bCs/>
      <w:color w:val="000000"/>
      <w:sz w:val="20"/>
      <w:szCs w:val="28"/>
    </w:rPr>
  </w:style>
  <w:style w:type="paragraph" w:styleId="En-tte">
    <w:name w:val="header"/>
    <w:basedOn w:val="Normal"/>
    <w:link w:val="En-tteCar"/>
    <w:uiPriority w:val="99"/>
    <w:unhideWhenUsed/>
    <w:rsid w:val="00AB4736"/>
    <w:pPr>
      <w:tabs>
        <w:tab w:val="center" w:pos="4680"/>
        <w:tab w:val="right" w:pos="9360"/>
      </w:tabs>
    </w:pPr>
  </w:style>
  <w:style w:type="character" w:customStyle="1" w:styleId="En-tteCar">
    <w:name w:val="En-tête Car"/>
    <w:basedOn w:val="Policepardfaut"/>
    <w:link w:val="En-tte"/>
    <w:uiPriority w:val="99"/>
    <w:rsid w:val="00AB4736"/>
    <w:rPr>
      <w:sz w:val="24"/>
      <w:lang w:val="en-US" w:eastAsia="en-US"/>
    </w:rPr>
  </w:style>
  <w:style w:type="paragraph" w:styleId="Pieddepage">
    <w:name w:val="footer"/>
    <w:basedOn w:val="Normal"/>
    <w:link w:val="PieddepageCar"/>
    <w:uiPriority w:val="99"/>
    <w:unhideWhenUsed/>
    <w:rsid w:val="00AB4736"/>
    <w:pPr>
      <w:tabs>
        <w:tab w:val="center" w:pos="4680"/>
        <w:tab w:val="right" w:pos="9360"/>
      </w:tabs>
    </w:pPr>
  </w:style>
  <w:style w:type="character" w:customStyle="1" w:styleId="PieddepageCar">
    <w:name w:val="Pied de page Car"/>
    <w:basedOn w:val="Policepardfaut"/>
    <w:link w:val="Pieddepage"/>
    <w:uiPriority w:val="99"/>
    <w:rsid w:val="00AB4736"/>
    <w:rPr>
      <w:sz w:val="24"/>
      <w:lang w:val="en-US" w:eastAsia="en-US"/>
    </w:rPr>
  </w:style>
  <w:style w:type="character" w:styleId="Numrodepage">
    <w:name w:val="page number"/>
    <w:basedOn w:val="Policepardfaut"/>
    <w:uiPriority w:val="99"/>
    <w:semiHidden/>
    <w:unhideWhenUsed/>
    <w:rsid w:val="007351DA"/>
  </w:style>
  <w:style w:type="character" w:customStyle="1" w:styleId="Titre1Car">
    <w:name w:val="Titre 1 Car"/>
    <w:basedOn w:val="Policepardfaut"/>
    <w:uiPriority w:val="9"/>
    <w:rsid w:val="00F7640D"/>
    <w:rPr>
      <w:rFonts w:ascii="Arial" w:eastAsiaTheme="majorEastAsia" w:hAnsi="Arial" w:cstheme="majorBidi"/>
      <w:b/>
      <w:caps/>
      <w:color w:val="000000" w:themeColor="text1"/>
      <w:sz w:val="28"/>
      <w:szCs w:val="32"/>
      <w:lang w:val="en-GB" w:eastAsia="en-US"/>
    </w:rPr>
  </w:style>
  <w:style w:type="character" w:customStyle="1" w:styleId="Titre2Car">
    <w:name w:val="Titre 2 Car"/>
    <w:basedOn w:val="Policepardfaut"/>
    <w:uiPriority w:val="9"/>
    <w:rsid w:val="00F7640D"/>
    <w:rPr>
      <w:rFonts w:ascii="Arial" w:eastAsiaTheme="majorEastAsia" w:hAnsi="Arial" w:cstheme="majorBidi"/>
      <w:b/>
      <w:color w:val="000000" w:themeColor="text1"/>
      <w:sz w:val="24"/>
      <w:szCs w:val="26"/>
      <w:lang w:val="en-US" w:eastAsia="en-US"/>
    </w:rPr>
  </w:style>
  <w:style w:type="character" w:customStyle="1" w:styleId="Titre3Car">
    <w:name w:val="Titre 3 Car"/>
    <w:basedOn w:val="Policepardfaut"/>
    <w:uiPriority w:val="9"/>
    <w:rsid w:val="00F7640D"/>
    <w:rPr>
      <w:rFonts w:ascii="Arial" w:eastAsiaTheme="majorEastAsia" w:hAnsi="Arial" w:cstheme="majorBidi"/>
      <w:b/>
      <w:color w:val="000000" w:themeColor="text1"/>
      <w:sz w:val="24"/>
      <w:szCs w:val="24"/>
      <w:lang w:val="en-US" w:eastAsia="en-US"/>
    </w:rPr>
  </w:style>
  <w:style w:type="character" w:customStyle="1" w:styleId="Titre4Car">
    <w:name w:val="Titre 4 Car"/>
    <w:basedOn w:val="Policepardfaut"/>
    <w:uiPriority w:val="9"/>
    <w:rsid w:val="00F7640D"/>
    <w:rPr>
      <w:rFonts w:ascii="Arial" w:eastAsiaTheme="majorEastAsia" w:hAnsi="Arial" w:cstheme="majorBidi"/>
      <w:iCs/>
      <w:color w:val="000000" w:themeColor="text1"/>
      <w:sz w:val="24"/>
      <w:u w:val="single"/>
      <w:lang w:val="en-US" w:eastAsia="en-US"/>
    </w:rPr>
  </w:style>
  <w:style w:type="character" w:customStyle="1" w:styleId="Titre5Car">
    <w:name w:val="Titre 5 Car"/>
    <w:basedOn w:val="Policepardfaut"/>
    <w:uiPriority w:val="9"/>
    <w:rsid w:val="00F7640D"/>
    <w:rPr>
      <w:rFonts w:ascii="Arial" w:eastAsiaTheme="majorEastAsia" w:hAnsi="Arial" w:cstheme="majorBidi"/>
      <w:i/>
      <w:color w:val="000000" w:themeColor="text1"/>
      <w:sz w:val="24"/>
      <w:lang w:val="en-US" w:eastAsia="en-US"/>
    </w:rPr>
  </w:style>
  <w:style w:type="table" w:styleId="TableauListe6Couleur">
    <w:name w:val="List Table 6 Colorful"/>
    <w:basedOn w:val="TableauNormal"/>
    <w:uiPriority w:val="51"/>
    <w:rsid w:val="004F649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505937"/>
    <w:pPr>
      <w:tabs>
        <w:tab w:val="clear" w:pos="0"/>
        <w:tab w:val="clear" w:pos="1134"/>
        <w:tab w:val="clear" w:pos="1700"/>
        <w:tab w:val="clear" w:pos="2267"/>
        <w:tab w:val="clear" w:pos="2834"/>
        <w:tab w:val="clear" w:pos="3401"/>
        <w:tab w:val="clear" w:pos="3967"/>
        <w:tab w:val="clear" w:pos="4535"/>
        <w:tab w:val="clear" w:pos="5101"/>
        <w:tab w:val="clear" w:pos="5668"/>
        <w:tab w:val="clear" w:pos="6235"/>
        <w:tab w:val="clear" w:pos="6802"/>
        <w:tab w:val="clear" w:pos="7368"/>
        <w:tab w:val="clear" w:pos="7936"/>
        <w:tab w:val="clear" w:pos="8502"/>
        <w:tab w:val="clear" w:pos="9068"/>
        <w:tab w:val="clear" w:pos="9636"/>
        <w:tab w:val="clear" w:pos="10202"/>
      </w:tabs>
      <w:spacing w:before="100" w:beforeAutospacing="1" w:after="100" w:afterAutospacing="1"/>
      <w:ind w:firstLine="0"/>
      <w:jc w:val="left"/>
    </w:pPr>
    <w:rPr>
      <w:rFonts w:ascii="Times New Roman" w:hAnsi="Times New Roman" w:cs="Times New Roman"/>
      <w:lang w:val="fr-FR"/>
    </w:rPr>
  </w:style>
  <w:style w:type="paragraph" w:styleId="Bibliographie">
    <w:name w:val="Bibliography"/>
    <w:basedOn w:val="Normal"/>
    <w:next w:val="Normal"/>
    <w:uiPriority w:val="37"/>
    <w:unhideWhenUsed/>
    <w:rsid w:val="009D4A30"/>
  </w:style>
  <w:style w:type="character" w:customStyle="1" w:styleId="apple-tab-span">
    <w:name w:val="apple-tab-span"/>
    <w:basedOn w:val="Policepardfaut"/>
    <w:rsid w:val="000F4D7C"/>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PwRuf313HvN2nRADg0KQCCDl7g==">CgMxLjAyDmgueWsyNTR5ZTU2MTg3OABqIgoTc3VnZ2VzdC56Y3BqNnFzcWgzaxILSEVSVkUgRlJZREFqIwoUc3VnZ2VzdC43M3lqejE5MDQ4MzISC0hFUlZFIEZSWURBaiMKFHN1Z2dlc3QucXBibG5tdWloczdwEgtIRVJWRSBGUllEQWojChRzdWdnZXN0LnVoNGZvaHdzcjUxYhILSEVSVkUgRlJZREFqIwoUc3VnZ2VzdC4zMTV2amRrN3F0NzASC0hFUlZFIEZSWURBaiMKFHN1Z2dlc3QuamphZXp2dTJvOXdiEgtIRVJWRSBGUllEQXIhMWFHY1Y4N3JHdjZseTZuVExSSTJqWndMNWowUmVkTWd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1584</Words>
  <Characters>8712</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furnas</dc:creator>
  <cp:lastModifiedBy>BENEVENUTI Barbara</cp:lastModifiedBy>
  <cp:revision>2</cp:revision>
  <dcterms:created xsi:type="dcterms:W3CDTF">2026-01-15T14:52:00Z</dcterms:created>
  <dcterms:modified xsi:type="dcterms:W3CDTF">2026-02-26T09:15:00Z</dcterms:modified>
</cp:coreProperties>
</file>