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C9D11D" w14:textId="1C33AF30" w:rsidR="00B21D1D" w:rsidRPr="00F7640D" w:rsidRDefault="00BB0EF5" w:rsidP="00F7640D">
      <w:pPr>
        <w:pStyle w:val="Heading1"/>
      </w:pPr>
      <w:r w:rsidRPr="00BB0EF5">
        <w:t>THE EFFECT OF CARBONATION ON CALCIUM ALUMINATE CEMENT WITH THE ADDITION OF SLAG AND CALCINED CLAY</w:t>
      </w:r>
    </w:p>
    <w:p w14:paraId="37434332" w14:textId="77777777" w:rsidR="002709B6" w:rsidRPr="00F7640D" w:rsidRDefault="002709B6" w:rsidP="00AB4736">
      <w:pPr>
        <w:tabs>
          <w:tab w:val="left" w:pos="0"/>
          <w:tab w:val="left" w:pos="566"/>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rPr>
          <w:rFonts w:ascii="Arial" w:hAnsi="Arial" w:cs="Arial"/>
          <w:sz w:val="28"/>
          <w:szCs w:val="28"/>
        </w:rPr>
      </w:pPr>
    </w:p>
    <w:p w14:paraId="2C703314" w14:textId="77777777" w:rsidR="003C395D" w:rsidRDefault="003C395D" w:rsidP="007351DA">
      <w:pPr>
        <w:tabs>
          <w:tab w:val="left" w:pos="0"/>
          <w:tab w:val="left" w:pos="566"/>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rPr>
          <w:rFonts w:ascii="Arial" w:hAnsi="Arial" w:cs="Arial"/>
          <w:vertAlign w:val="superscript"/>
        </w:rPr>
      </w:pPr>
      <w:r>
        <w:rPr>
          <w:rFonts w:ascii="Arial" w:hAnsi="Arial" w:cs="Arial"/>
        </w:rPr>
        <w:t>Bašić, Alma-Dina</w:t>
      </w:r>
      <w:proofErr w:type="gramStart"/>
      <w:r w:rsidRPr="00814E17">
        <w:rPr>
          <w:rFonts w:ascii="Arial" w:hAnsi="Arial" w:cs="Arial"/>
          <w:vertAlign w:val="superscript"/>
        </w:rPr>
        <w:t xml:space="preserve">1 </w:t>
      </w:r>
      <w:r w:rsidRPr="00814E17">
        <w:rPr>
          <w:rFonts w:ascii="Arial" w:hAnsi="Arial" w:cs="Arial"/>
        </w:rPr>
        <w:t>,</w:t>
      </w:r>
      <w:proofErr w:type="gramEnd"/>
      <w:r w:rsidRPr="00814E17">
        <w:rPr>
          <w:rFonts w:ascii="Arial" w:hAnsi="Arial" w:cs="Arial"/>
        </w:rPr>
        <w:t xml:space="preserve"> </w:t>
      </w:r>
      <w:r w:rsidRPr="00B90D5D">
        <w:rPr>
          <w:rFonts w:ascii="Arial" w:hAnsi="Arial" w:cs="Arial"/>
        </w:rPr>
        <w:t>Gerz, Alexandra</w:t>
      </w:r>
      <w:r w:rsidRPr="00B90D5D">
        <w:rPr>
          <w:rFonts w:ascii="Arial" w:hAnsi="Arial" w:cs="Arial"/>
          <w:vertAlign w:val="superscript"/>
        </w:rPr>
        <w:t>2</w:t>
      </w:r>
      <w:r>
        <w:rPr>
          <w:rFonts w:ascii="Arial" w:hAnsi="Arial" w:cs="Arial"/>
        </w:rPr>
        <w:t>, Serdar, Marijana</w:t>
      </w:r>
      <w:r w:rsidRPr="001479D2">
        <w:rPr>
          <w:rFonts w:ascii="Arial" w:hAnsi="Arial" w:cs="Arial"/>
          <w:vertAlign w:val="superscript"/>
        </w:rPr>
        <w:t>1</w:t>
      </w:r>
    </w:p>
    <w:p w14:paraId="6B9AD50F" w14:textId="77777777" w:rsidR="00CE7FC5" w:rsidRPr="00814E17" w:rsidRDefault="00CE7FC5" w:rsidP="00CE7FC5">
      <w:pPr>
        <w:rPr>
          <w:rFonts w:ascii="Arial" w:hAnsi="Arial" w:cs="Arial"/>
        </w:rPr>
      </w:pPr>
      <w:r w:rsidRPr="00814E17">
        <w:rPr>
          <w:rFonts w:ascii="Arial" w:hAnsi="Arial" w:cs="Arial"/>
          <w:vertAlign w:val="superscript"/>
        </w:rPr>
        <w:t>1</w:t>
      </w:r>
      <w:r>
        <w:rPr>
          <w:rFonts w:ascii="Arial" w:hAnsi="Arial" w:cs="Arial"/>
          <w:vertAlign w:val="superscript"/>
        </w:rPr>
        <w:t xml:space="preserve"> </w:t>
      </w:r>
      <w:r>
        <w:rPr>
          <w:rFonts w:ascii="Arial" w:hAnsi="Arial" w:cs="Arial"/>
        </w:rPr>
        <w:t xml:space="preserve">University of Zagreb, Faculty of Civil Engineering, Department of Materials, Fra </w:t>
      </w:r>
      <w:proofErr w:type="spellStart"/>
      <w:r>
        <w:rPr>
          <w:rFonts w:ascii="Arial" w:hAnsi="Arial" w:cs="Arial"/>
        </w:rPr>
        <w:t>Andrije</w:t>
      </w:r>
      <w:proofErr w:type="spellEnd"/>
      <w:r>
        <w:rPr>
          <w:rFonts w:ascii="Arial" w:hAnsi="Arial" w:cs="Arial"/>
        </w:rPr>
        <w:t xml:space="preserve"> </w:t>
      </w:r>
      <w:proofErr w:type="spellStart"/>
      <w:r>
        <w:rPr>
          <w:rFonts w:ascii="Arial" w:hAnsi="Arial" w:cs="Arial"/>
        </w:rPr>
        <w:t>Kačić-Miošić</w:t>
      </w:r>
      <w:proofErr w:type="spellEnd"/>
      <w:r>
        <w:rPr>
          <w:rFonts w:ascii="Arial" w:hAnsi="Arial" w:cs="Arial"/>
        </w:rPr>
        <w:t xml:space="preserve"> 26, 10000 Zagreb, Croatia</w:t>
      </w:r>
      <w:r w:rsidRPr="00B90D5D">
        <w:rPr>
          <w:rFonts w:ascii="Arial" w:hAnsi="Arial" w:cs="Arial"/>
        </w:rPr>
        <w:t xml:space="preserve">, </w:t>
      </w:r>
      <w:r w:rsidRPr="00B90D5D">
        <w:rPr>
          <w:rFonts w:ascii="Arial" w:hAnsi="Arial" w:cs="Arial"/>
          <w:vertAlign w:val="superscript"/>
        </w:rPr>
        <w:t>2</w:t>
      </w:r>
      <w:r w:rsidRPr="00B90D5D">
        <w:rPr>
          <w:rFonts w:ascii="Arial" w:hAnsi="Arial" w:cs="Arial"/>
        </w:rPr>
        <w:t xml:space="preserve">Calucem d.o.o., </w:t>
      </w:r>
      <w:proofErr w:type="spellStart"/>
      <w:r w:rsidRPr="00B90D5D">
        <w:rPr>
          <w:rFonts w:ascii="Arial" w:hAnsi="Arial" w:cs="Arial"/>
        </w:rPr>
        <w:t>Revelanteova</w:t>
      </w:r>
      <w:proofErr w:type="spellEnd"/>
      <w:r w:rsidRPr="00B90D5D">
        <w:rPr>
          <w:rFonts w:ascii="Arial" w:hAnsi="Arial" w:cs="Arial"/>
        </w:rPr>
        <w:t xml:space="preserve"> 4, 52100 Pula, Croatia</w:t>
      </w:r>
    </w:p>
    <w:p w14:paraId="7868231E" w14:textId="134A2CC1" w:rsidR="00943D68" w:rsidRPr="00F7640D" w:rsidRDefault="00943D68" w:rsidP="00AB4736">
      <w:pPr>
        <w:tabs>
          <w:tab w:val="left" w:pos="0"/>
          <w:tab w:val="left" w:pos="566"/>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rPr>
          <w:rFonts w:ascii="Arial" w:hAnsi="Arial" w:cs="Arial"/>
          <w:szCs w:val="24"/>
          <w:vertAlign w:val="superscript"/>
        </w:rPr>
      </w:pPr>
    </w:p>
    <w:p w14:paraId="09422692" w14:textId="47EF6589" w:rsidR="00F7640D" w:rsidRDefault="00F7640D" w:rsidP="00F7640D">
      <w:pPr>
        <w:rPr>
          <w:rFonts w:ascii="Arial" w:hAnsi="Arial" w:cs="Arial"/>
        </w:rPr>
      </w:pPr>
      <w:r w:rsidRPr="00995FD2">
        <w:rPr>
          <w:rFonts w:ascii="Arial" w:hAnsi="Arial" w:cs="Arial"/>
          <w:b/>
          <w:bCs/>
        </w:rPr>
        <w:t>Keywords:</w:t>
      </w:r>
      <w:r>
        <w:rPr>
          <w:rFonts w:ascii="Arial" w:hAnsi="Arial" w:cs="Arial"/>
        </w:rPr>
        <w:t xml:space="preserve"> </w:t>
      </w:r>
      <w:r w:rsidR="003155CE" w:rsidRPr="003155CE">
        <w:rPr>
          <w:rFonts w:ascii="Arial" w:hAnsi="Arial" w:cs="Arial"/>
        </w:rPr>
        <w:t>accelerated carbonation, supplementary cementitious materials, microstructure, pore structure</w:t>
      </w:r>
    </w:p>
    <w:p w14:paraId="2336D2CF" w14:textId="77777777" w:rsidR="00F7640D" w:rsidRPr="00F7640D" w:rsidRDefault="00F7640D">
      <w:pPr>
        <w:tabs>
          <w:tab w:val="left" w:pos="0"/>
          <w:tab w:val="left" w:pos="566"/>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szCs w:val="24"/>
          <w:lang w:val="en-GB"/>
        </w:rPr>
      </w:pPr>
    </w:p>
    <w:p w14:paraId="5DEFBBF5" w14:textId="026EFBEB" w:rsidR="007351DA" w:rsidRPr="00F7640D" w:rsidRDefault="007351DA" w:rsidP="00F7640D">
      <w:pPr>
        <w:pStyle w:val="Heading2"/>
      </w:pPr>
      <w:r w:rsidRPr="00F7640D">
        <w:t>ABSTRACT</w:t>
      </w:r>
    </w:p>
    <w:p w14:paraId="5B812CC0" w14:textId="77777777" w:rsidR="005E034E" w:rsidRDefault="005E034E" w:rsidP="005E034E">
      <w:pPr>
        <w:jc w:val="both"/>
        <w:rPr>
          <w:rFonts w:ascii="Arial" w:hAnsi="Arial" w:cs="Arial"/>
          <w:lang w:val="en-GB"/>
        </w:rPr>
      </w:pPr>
      <w:r w:rsidRPr="005E034E">
        <w:rPr>
          <w:rFonts w:ascii="Arial" w:hAnsi="Arial" w:cs="Arial"/>
          <w:lang w:val="en-GB"/>
        </w:rPr>
        <w:t>The durability of calcium aluminate cement in aggressive environments is considered one of its competitive advantages. A property that is attracting additional attention in concrete research today is resistance to carbonation, as cement-based materials play a role as carbon sinks in the carbon neutrality strategy. Previous studies have shown that CAC concrete has a faster carbonation rate compared to OPC concrete. However, there are no consistent conclusions on the effects of carbonation on the properties of CAC and limited knowledge on how SCMs affect the carbonation process when mixed with CAC. The present study focuses on the evaluation of the carbonation resistance of mortar based on CAC without and with the addition of slag and calcined clay. The influence of carbonation was investigated on non-conversion-promoted (cured at 20°C) and conversion-promoted samples (cured at 38°C). The experimental results show that accelerated carbonation has different effects on the microstructure and mechanical properties of CAC without and with the addition of slag or calcined clay.</w:t>
      </w:r>
    </w:p>
    <w:p w14:paraId="091ED963" w14:textId="77777777" w:rsidR="000B0DAD" w:rsidRDefault="000B0DAD" w:rsidP="00F7640D">
      <w:pPr>
        <w:pStyle w:val="Heading2"/>
      </w:pPr>
    </w:p>
    <w:p w14:paraId="42FA6F9C" w14:textId="09472338" w:rsidR="007F639E" w:rsidRDefault="00C379C2" w:rsidP="00F7640D">
      <w:pPr>
        <w:pStyle w:val="Heading2"/>
      </w:pPr>
      <w:r w:rsidRPr="00F7640D">
        <w:t>INTRODUCTION</w:t>
      </w:r>
      <w:r w:rsidR="00F7640D">
        <w:t xml:space="preserve"> | BACKGROUND </w:t>
      </w:r>
    </w:p>
    <w:p w14:paraId="5FD216A9" w14:textId="43FABE4E" w:rsidR="00BF2FFB" w:rsidRPr="00BF2FFB" w:rsidRDefault="00012823" w:rsidP="00BF2FFB">
      <w:pPr>
        <w:jc w:val="both"/>
        <w:rPr>
          <w:rFonts w:ascii="Arial" w:hAnsi="Arial" w:cs="Arial"/>
          <w:lang w:val="en-GB"/>
        </w:rPr>
      </w:pPr>
      <w:r w:rsidRPr="00012823">
        <w:rPr>
          <w:rFonts w:ascii="Arial" w:hAnsi="Arial" w:cs="Arial"/>
          <w:lang w:val="en-GB"/>
        </w:rPr>
        <w:t>The durability of calcium aluminate cement is often cited as the greatest advantage of this material</w:t>
      </w:r>
      <w:r w:rsidR="006E355F">
        <w:rPr>
          <w:rFonts w:ascii="Arial" w:hAnsi="Arial" w:cs="Arial"/>
          <w:vertAlign w:val="superscript"/>
          <w:lang w:val="en-GB"/>
        </w:rPr>
        <w:t>1</w:t>
      </w:r>
      <w:r w:rsidRPr="00012823">
        <w:rPr>
          <w:rFonts w:ascii="Arial" w:hAnsi="Arial" w:cs="Arial"/>
          <w:lang w:val="en-GB"/>
        </w:rPr>
        <w:t>. One of the durability properties raising additional attention in concrete research is resistance to carbonation, due to the implication cement-based materials as carbon sinks have in the carbon neutrality strategy</w:t>
      </w:r>
      <w:r w:rsidR="006E355F">
        <w:rPr>
          <w:rFonts w:ascii="Arial" w:hAnsi="Arial" w:cs="Arial"/>
          <w:vertAlign w:val="superscript"/>
          <w:lang w:val="en-GB"/>
        </w:rPr>
        <w:t>2</w:t>
      </w:r>
      <w:r w:rsidRPr="00012823">
        <w:rPr>
          <w:rFonts w:ascii="Arial" w:hAnsi="Arial" w:cs="Arial"/>
          <w:lang w:val="en-GB"/>
        </w:rPr>
        <w:t>. In CAC cement, according to the literature, the reaction with CO</w:t>
      </w:r>
      <w:r w:rsidRPr="002335E3">
        <w:rPr>
          <w:rFonts w:ascii="Arial" w:hAnsi="Arial" w:cs="Arial"/>
          <w:vertAlign w:val="subscript"/>
          <w:lang w:val="en-GB"/>
        </w:rPr>
        <w:t>2</w:t>
      </w:r>
      <w:r w:rsidRPr="00012823">
        <w:rPr>
          <w:rFonts w:ascii="Arial" w:hAnsi="Arial" w:cs="Arial"/>
          <w:lang w:val="en-GB"/>
        </w:rPr>
        <w:t xml:space="preserve"> leads to the formation of CaCO</w:t>
      </w:r>
      <w:r w:rsidRPr="002335E3">
        <w:rPr>
          <w:rFonts w:ascii="Arial" w:hAnsi="Arial" w:cs="Arial"/>
          <w:vertAlign w:val="subscript"/>
          <w:lang w:val="en-GB"/>
        </w:rPr>
        <w:t>3</w:t>
      </w:r>
      <w:r w:rsidRPr="00012823">
        <w:rPr>
          <w:rFonts w:ascii="Arial" w:hAnsi="Arial" w:cs="Arial"/>
          <w:lang w:val="en-GB"/>
        </w:rPr>
        <w:t xml:space="preserve"> and AH</w:t>
      </w:r>
      <w:r w:rsidRPr="002335E3">
        <w:rPr>
          <w:rFonts w:ascii="Arial" w:hAnsi="Arial" w:cs="Arial"/>
          <w:vertAlign w:val="subscript"/>
          <w:lang w:val="en-GB"/>
        </w:rPr>
        <w:t>3</w:t>
      </w:r>
      <w:r w:rsidRPr="00012823">
        <w:rPr>
          <w:rFonts w:ascii="Arial" w:hAnsi="Arial" w:cs="Arial"/>
          <w:lang w:val="en-GB"/>
        </w:rPr>
        <w:t xml:space="preserve"> gel, irrespective of the hydrates present</w:t>
      </w:r>
      <w:r w:rsidR="00DC5786">
        <w:rPr>
          <w:rFonts w:ascii="Arial" w:hAnsi="Arial" w:cs="Arial"/>
          <w:vertAlign w:val="superscript"/>
          <w:lang w:val="en-GB"/>
        </w:rPr>
        <w:t>1</w:t>
      </w:r>
      <w:r w:rsidRPr="00012823">
        <w:rPr>
          <w:rFonts w:ascii="Arial" w:hAnsi="Arial" w:cs="Arial"/>
          <w:lang w:val="en-GB"/>
        </w:rPr>
        <w:t>.</w:t>
      </w:r>
      <w:r w:rsidR="00BF2FFB">
        <w:rPr>
          <w:rFonts w:ascii="Arial" w:hAnsi="Arial" w:cs="Arial"/>
          <w:lang w:val="en-GB"/>
        </w:rPr>
        <w:t xml:space="preserve"> </w:t>
      </w:r>
      <w:r w:rsidR="00BF2FFB" w:rsidRPr="00BF2FFB">
        <w:rPr>
          <w:rFonts w:ascii="Arial" w:hAnsi="Arial" w:cs="Arial"/>
          <w:lang w:val="en-GB"/>
        </w:rPr>
        <w:t>Alapati and Kurtis</w:t>
      </w:r>
      <w:r w:rsidR="00DC5786">
        <w:rPr>
          <w:rFonts w:ascii="Arial" w:hAnsi="Arial" w:cs="Arial"/>
          <w:vertAlign w:val="superscript"/>
          <w:lang w:val="en-GB"/>
        </w:rPr>
        <w:t>3</w:t>
      </w:r>
      <w:r w:rsidR="00BF2FFB" w:rsidRPr="00BF2FFB">
        <w:rPr>
          <w:rFonts w:ascii="Arial" w:hAnsi="Arial" w:cs="Arial"/>
          <w:lang w:val="en-GB"/>
        </w:rPr>
        <w:t xml:space="preserve"> demonstrated that CAC concrete exhibits a faster carbonation rate in comparison to OPC concrete. Additionally, they showed that the decomposition of primary hydration products due to carbonation can lead to a considerable decrease in compressive strength and capillary porosity. On the contrary, studies of CAC exposed to carbon dioxide during curing at early age showed that it is possible to overcome conversion process by exposing samples to critical </w:t>
      </w:r>
      <w:r w:rsidR="00BF2FFB" w:rsidRPr="00BF2FFB">
        <w:rPr>
          <w:rFonts w:ascii="Arial" w:hAnsi="Arial" w:cs="Arial"/>
          <w:lang w:val="en-GB"/>
        </w:rPr>
        <w:lastRenderedPageBreak/>
        <w:t>carbonation (100% of CO</w:t>
      </w:r>
      <w:r w:rsidR="00BF2FFB" w:rsidRPr="002335E3">
        <w:rPr>
          <w:rFonts w:ascii="Arial" w:hAnsi="Arial" w:cs="Arial"/>
          <w:vertAlign w:val="subscript"/>
          <w:lang w:val="en-GB"/>
        </w:rPr>
        <w:t>2</w:t>
      </w:r>
      <w:r w:rsidR="00BF2FFB" w:rsidRPr="00BF2FFB">
        <w:rPr>
          <w:rFonts w:ascii="Arial" w:hAnsi="Arial" w:cs="Arial"/>
          <w:lang w:val="en-GB"/>
        </w:rPr>
        <w:t>) or by early carbonation curing</w:t>
      </w:r>
      <w:r w:rsidR="000E19AC">
        <w:rPr>
          <w:rFonts w:ascii="Arial" w:hAnsi="Arial" w:cs="Arial"/>
          <w:vertAlign w:val="superscript"/>
          <w:lang w:val="en-GB"/>
        </w:rPr>
        <w:t>4</w:t>
      </w:r>
      <w:r w:rsidR="00BF2FFB" w:rsidRPr="00BF2FFB">
        <w:rPr>
          <w:rFonts w:ascii="Arial" w:hAnsi="Arial" w:cs="Arial"/>
          <w:lang w:val="en-GB"/>
        </w:rPr>
        <w:t>. Studies showed formation of stable hydrates without causing an increase in the porosity of the cement matrix. Overall, however, there is an absence of uniform conclusion on the effect of carbonation on CAC and a limited knowledge about how SCMs impact the carbonation process when incorporated with CAC.</w:t>
      </w:r>
    </w:p>
    <w:p w14:paraId="23994AD7" w14:textId="013DECFE" w:rsidR="007F639E" w:rsidRPr="00012823" w:rsidRDefault="00BF2FFB" w:rsidP="00BF2FFB">
      <w:pPr>
        <w:jc w:val="both"/>
        <w:rPr>
          <w:rFonts w:ascii="Arial" w:hAnsi="Arial" w:cs="Arial"/>
          <w:lang w:val="en-GB"/>
        </w:rPr>
      </w:pPr>
      <w:r w:rsidRPr="00BF2FFB">
        <w:rPr>
          <w:rFonts w:ascii="Arial" w:hAnsi="Arial" w:cs="Arial"/>
          <w:lang w:val="en-GB"/>
        </w:rPr>
        <w:t xml:space="preserve">This research is focused on evaluating the carbonation resistance of mortar based on CAC cement without and with the addition of slag and calcined clay. For this purpose, three mixtures were made. </w:t>
      </w:r>
    </w:p>
    <w:p w14:paraId="632C4C57" w14:textId="77777777" w:rsidR="000B0DAD" w:rsidRDefault="000B0DAD" w:rsidP="00F7640D">
      <w:pPr>
        <w:pStyle w:val="Heading2"/>
      </w:pPr>
    </w:p>
    <w:p w14:paraId="6B604073" w14:textId="7F866DB9" w:rsidR="00943D68" w:rsidRPr="00F7640D" w:rsidRDefault="00E11E4C" w:rsidP="00F7640D">
      <w:pPr>
        <w:pStyle w:val="Heading2"/>
      </w:pPr>
      <w:r>
        <w:t xml:space="preserve">MATERIALS AND </w:t>
      </w:r>
      <w:r w:rsidR="00F7640D">
        <w:t>METHODS</w:t>
      </w:r>
    </w:p>
    <w:p w14:paraId="630C902D" w14:textId="7AEF6310" w:rsidR="00E11E4C" w:rsidRDefault="00E11E4C" w:rsidP="007351DA">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r w:rsidRPr="00E11E4C">
        <w:rPr>
          <w:rFonts w:ascii="Arial" w:hAnsi="Arial" w:cs="Arial"/>
          <w:lang w:val="en-GB"/>
        </w:rPr>
        <w:t>The studied samples were produced using calcium aluminate cement with 52.67% of Al</w:t>
      </w:r>
      <w:r w:rsidRPr="002335E3">
        <w:rPr>
          <w:rFonts w:ascii="Arial" w:hAnsi="Arial" w:cs="Arial"/>
          <w:vertAlign w:val="subscript"/>
          <w:lang w:val="en-GB"/>
        </w:rPr>
        <w:t>2</w:t>
      </w:r>
      <w:r w:rsidRPr="00E11E4C">
        <w:rPr>
          <w:rFonts w:ascii="Arial" w:hAnsi="Arial" w:cs="Arial"/>
          <w:lang w:val="en-GB"/>
        </w:rPr>
        <w:t>O</w:t>
      </w:r>
      <w:r w:rsidRPr="002335E3">
        <w:rPr>
          <w:rFonts w:ascii="Arial" w:hAnsi="Arial" w:cs="Arial"/>
          <w:vertAlign w:val="subscript"/>
          <w:lang w:val="en-GB"/>
        </w:rPr>
        <w:t>3</w:t>
      </w:r>
      <w:r w:rsidRPr="00E11E4C">
        <w:rPr>
          <w:rFonts w:ascii="Arial" w:hAnsi="Arial" w:cs="Arial"/>
          <w:lang w:val="en-GB"/>
        </w:rPr>
        <w:t xml:space="preserve"> produced by Calucem company from Pula, Croatia. The slag used in this study was industrially milled with a Blaine size 4580 cm</w:t>
      </w:r>
      <w:r w:rsidRPr="00182A3A">
        <w:rPr>
          <w:rFonts w:ascii="Arial" w:hAnsi="Arial" w:cs="Arial"/>
          <w:vertAlign w:val="superscript"/>
          <w:lang w:val="en-GB"/>
        </w:rPr>
        <w:t>2</w:t>
      </w:r>
      <w:r w:rsidRPr="00E11E4C">
        <w:rPr>
          <w:rFonts w:ascii="Arial" w:hAnsi="Arial" w:cs="Arial"/>
          <w:lang w:val="en-GB"/>
        </w:rPr>
        <w:t>/g, while clay was received as raw material without prior processing. Prior to mixing, the clay was first dried for 24h at 60°C to remove the moisture, then ground (for 90 s) to Blaine size of 5980 cm</w:t>
      </w:r>
      <w:r w:rsidRPr="00182A3A">
        <w:rPr>
          <w:rFonts w:ascii="Arial" w:hAnsi="Arial" w:cs="Arial"/>
          <w:vertAlign w:val="superscript"/>
          <w:lang w:val="en-GB"/>
        </w:rPr>
        <w:t>2</w:t>
      </w:r>
      <w:r w:rsidRPr="00E11E4C">
        <w:rPr>
          <w:rFonts w:ascii="Arial" w:hAnsi="Arial" w:cs="Arial"/>
          <w:lang w:val="en-GB"/>
        </w:rPr>
        <w:t>/</w:t>
      </w:r>
      <w:proofErr w:type="gramStart"/>
      <w:r w:rsidRPr="00E11E4C">
        <w:rPr>
          <w:rFonts w:ascii="Arial" w:hAnsi="Arial" w:cs="Arial"/>
          <w:lang w:val="en-GB"/>
        </w:rPr>
        <w:t>g, and</w:t>
      </w:r>
      <w:proofErr w:type="gramEnd"/>
      <w:r w:rsidRPr="00E11E4C">
        <w:rPr>
          <w:rFonts w:ascii="Arial" w:hAnsi="Arial" w:cs="Arial"/>
          <w:lang w:val="en-GB"/>
        </w:rPr>
        <w:t xml:space="preserve"> finally calcined at 850 °C for one hour. According to the mass loss (%) from 350 – 600 °C, the calcined clay had 40% kaolinite/</w:t>
      </w:r>
      <w:proofErr w:type="spellStart"/>
      <w:r w:rsidRPr="00E11E4C">
        <w:rPr>
          <w:rFonts w:ascii="Arial" w:hAnsi="Arial" w:cs="Arial"/>
          <w:lang w:val="en-GB"/>
        </w:rPr>
        <w:t>illite</w:t>
      </w:r>
      <w:proofErr w:type="spellEnd"/>
      <w:r w:rsidRPr="00E11E4C">
        <w:rPr>
          <w:rFonts w:ascii="Arial" w:hAnsi="Arial" w:cs="Arial"/>
          <w:lang w:val="en-GB"/>
        </w:rPr>
        <w:t>.</w:t>
      </w:r>
    </w:p>
    <w:p w14:paraId="3750FF5E" w14:textId="19D8C0AA" w:rsidR="00C90C74" w:rsidRDefault="00C90C74" w:rsidP="007351DA">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r w:rsidRPr="00C90C74">
        <w:rPr>
          <w:rFonts w:ascii="Arial" w:hAnsi="Arial" w:cs="Arial"/>
          <w:lang w:val="en-GB"/>
        </w:rPr>
        <w:t xml:space="preserve">To ensure quantifiable changes in the microstructure of CAC cement, 30% of cement was replaced by GGBFS or calcined clay. Therefore, three mortar mixtures were prepared. One reference mixture with 100% of CAC cement (labelled CAC100), second mixture with 30% replacement with GGFS (labelled CAC70S30) and third mixture with 30% replacement by calcined clay (labelled CAC70C30). The mixtures were prepared according to EN 14647. </w:t>
      </w:r>
      <w:r w:rsidR="00445DF2" w:rsidRPr="00BF2FFB">
        <w:rPr>
          <w:rFonts w:ascii="Arial" w:hAnsi="Arial" w:cs="Arial"/>
          <w:lang w:val="en-GB"/>
        </w:rPr>
        <w:t>The influence of carbonation was evaluated on conversion non-promoted (cured at 20°C) and conversion promoted samples (cured at 38°C).</w:t>
      </w:r>
    </w:p>
    <w:p w14:paraId="2857FD6D" w14:textId="1968D80D" w:rsidR="00795203" w:rsidRPr="00762260" w:rsidRDefault="00795203" w:rsidP="007351DA">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r w:rsidRPr="00795203">
        <w:rPr>
          <w:rFonts w:ascii="Arial" w:hAnsi="Arial" w:cs="Arial"/>
          <w:lang w:val="en-GB"/>
        </w:rPr>
        <w:t>Resistance to carbonation was tested according to EN 12390-12.</w:t>
      </w:r>
      <w:r>
        <w:rPr>
          <w:rFonts w:ascii="Arial" w:hAnsi="Arial" w:cs="Arial"/>
          <w:lang w:val="en-GB"/>
        </w:rPr>
        <w:t xml:space="preserve"> </w:t>
      </w:r>
      <w:r w:rsidR="00976B2E" w:rsidRPr="00BF2FFB">
        <w:rPr>
          <w:rFonts w:ascii="Arial" w:hAnsi="Arial" w:cs="Arial"/>
          <w:lang w:val="en-GB"/>
        </w:rPr>
        <w:t xml:space="preserve">The depth of carbonation was measured with a phenolphthalein indicator. To assess the impact of carbonation on </w:t>
      </w:r>
      <w:r w:rsidR="00976B2E" w:rsidRPr="00762260">
        <w:rPr>
          <w:rFonts w:ascii="Arial" w:hAnsi="Arial" w:cs="Arial"/>
          <w:lang w:val="en-GB"/>
        </w:rPr>
        <w:t>the mechanical properties, the compressive strength of the samples was tested before and after 56 days of carbonation. To correlate changes in the compressive strength to conversion and phase assemblage changes, microstructure studies were performed by thermogravimetric analysis (TGA)</w:t>
      </w:r>
      <w:r w:rsidR="00762260" w:rsidRPr="00762260">
        <w:rPr>
          <w:rFonts w:ascii="Arial" w:hAnsi="Arial" w:cs="Arial"/>
          <w:lang w:val="en-GB"/>
        </w:rPr>
        <w:t xml:space="preserve"> – results showed in the extended abstract</w:t>
      </w:r>
      <w:r w:rsidR="00976B2E" w:rsidRPr="00762260">
        <w:rPr>
          <w:rFonts w:ascii="Arial" w:hAnsi="Arial" w:cs="Arial"/>
          <w:lang w:val="en-GB"/>
        </w:rPr>
        <w:t>,</w:t>
      </w:r>
      <w:r w:rsidR="00762260" w:rsidRPr="00762260">
        <w:rPr>
          <w:rFonts w:ascii="Arial" w:hAnsi="Arial" w:cs="Arial"/>
          <w:lang w:val="en-GB"/>
        </w:rPr>
        <w:t xml:space="preserve"> and </w:t>
      </w:r>
      <w:r w:rsidR="00976B2E" w:rsidRPr="00762260">
        <w:rPr>
          <w:rFonts w:ascii="Arial" w:hAnsi="Arial" w:cs="Arial"/>
          <w:lang w:val="en-GB"/>
        </w:rPr>
        <w:t xml:space="preserve">mercury intrusion </w:t>
      </w:r>
      <w:proofErr w:type="spellStart"/>
      <w:r w:rsidR="00976B2E" w:rsidRPr="00762260">
        <w:rPr>
          <w:rFonts w:ascii="Arial" w:hAnsi="Arial" w:cs="Arial"/>
          <w:lang w:val="en-GB"/>
        </w:rPr>
        <w:t>porosimetry</w:t>
      </w:r>
      <w:proofErr w:type="spellEnd"/>
      <w:r w:rsidR="00976B2E" w:rsidRPr="00762260">
        <w:rPr>
          <w:rFonts w:ascii="Arial" w:hAnsi="Arial" w:cs="Arial"/>
          <w:lang w:val="en-GB"/>
        </w:rPr>
        <w:t xml:space="preserve"> (MIP), and X-ray diffraction (XRD)</w:t>
      </w:r>
      <w:r w:rsidR="00762260" w:rsidRPr="00762260">
        <w:rPr>
          <w:rFonts w:ascii="Arial" w:hAnsi="Arial" w:cs="Arial"/>
          <w:lang w:val="en-GB"/>
        </w:rPr>
        <w:t xml:space="preserve"> – results not shown in the extended abstract</w:t>
      </w:r>
      <w:r w:rsidR="00976B2E" w:rsidRPr="00762260">
        <w:rPr>
          <w:rFonts w:ascii="Arial" w:hAnsi="Arial" w:cs="Arial"/>
          <w:lang w:val="en-GB"/>
        </w:rPr>
        <w:t>.</w:t>
      </w:r>
    </w:p>
    <w:p w14:paraId="118E04EB" w14:textId="77777777" w:rsidR="000B0DAD" w:rsidRPr="00762260" w:rsidRDefault="000B0DAD" w:rsidP="00795203">
      <w:pPr>
        <w:pStyle w:val="Heading2"/>
      </w:pPr>
    </w:p>
    <w:p w14:paraId="0F618087" w14:textId="35798271" w:rsidR="00795203" w:rsidRPr="00F7640D" w:rsidRDefault="00795203" w:rsidP="00795203">
      <w:pPr>
        <w:pStyle w:val="Heading2"/>
      </w:pPr>
      <w:r w:rsidRPr="00762260">
        <w:t>RESULTS</w:t>
      </w:r>
    </w:p>
    <w:p w14:paraId="0DEB8681" w14:textId="50B73A9A" w:rsidR="001E2EA4" w:rsidRPr="00813366" w:rsidRDefault="00813366" w:rsidP="005F7C9A">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szCs w:val="24"/>
        </w:rPr>
      </w:pPr>
      <w:r w:rsidRPr="00813366">
        <w:rPr>
          <w:rFonts w:ascii="Arial" w:hAnsi="Arial" w:cs="Arial"/>
          <w:lang w:val="en-GB"/>
        </w:rPr>
        <w:t>Carbonation depth was monitored over 56 days of exposure to CO</w:t>
      </w:r>
      <w:r w:rsidRPr="00813366">
        <w:rPr>
          <w:rFonts w:ascii="Arial" w:hAnsi="Arial" w:cs="Arial"/>
          <w:vertAlign w:val="subscript"/>
          <w:lang w:val="en-GB"/>
        </w:rPr>
        <w:t>2</w:t>
      </w:r>
      <w:r w:rsidRPr="00813366">
        <w:rPr>
          <w:rFonts w:ascii="Arial" w:hAnsi="Arial" w:cs="Arial"/>
          <w:lang w:val="en-GB"/>
        </w:rPr>
        <w:t xml:space="preserve">. Results obtained from carbonation depth measurement are shown in </w:t>
      </w:r>
      <w:r w:rsidRPr="00813366">
        <w:rPr>
          <w:rFonts w:ascii="Arial" w:hAnsi="Arial" w:cs="Arial"/>
          <w:lang w:val="en-GB"/>
        </w:rPr>
        <w:fldChar w:fldCharType="begin"/>
      </w:r>
      <w:r w:rsidRPr="00813366">
        <w:rPr>
          <w:rFonts w:ascii="Arial" w:hAnsi="Arial" w:cs="Arial"/>
          <w:lang w:val="en-GB"/>
        </w:rPr>
        <w:instrText xml:space="preserve"> REF _Ref162944632 \h  \* MERGEFORMAT </w:instrText>
      </w:r>
      <w:r w:rsidRPr="00813366">
        <w:rPr>
          <w:rFonts w:ascii="Arial" w:hAnsi="Arial" w:cs="Arial"/>
          <w:lang w:val="en-GB"/>
        </w:rPr>
      </w:r>
      <w:r w:rsidRPr="00813366">
        <w:rPr>
          <w:rFonts w:ascii="Arial" w:hAnsi="Arial" w:cs="Arial"/>
          <w:lang w:val="en-GB"/>
        </w:rPr>
        <w:fldChar w:fldCharType="separate"/>
      </w:r>
      <w:r w:rsidR="00754171" w:rsidRPr="00754171">
        <w:rPr>
          <w:rFonts w:ascii="Arial" w:hAnsi="Arial" w:cs="Arial"/>
          <w:lang w:val="en-GB"/>
        </w:rPr>
        <w:t>Figure 1</w:t>
      </w:r>
      <w:r w:rsidRPr="00813366">
        <w:rPr>
          <w:rFonts w:ascii="Arial" w:hAnsi="Arial" w:cs="Arial"/>
          <w:lang w:val="en-GB"/>
        </w:rPr>
        <w:fldChar w:fldCharType="end"/>
      </w:r>
      <w:r w:rsidRPr="00813366">
        <w:rPr>
          <w:rFonts w:ascii="Arial" w:hAnsi="Arial" w:cs="Arial"/>
          <w:lang w:val="en-GB"/>
        </w:rPr>
        <w:t xml:space="preserve">. Mixture CAC70C30 20°C exhibited the highest carbonation ingress throughout all testing periods. Mixtures cured at 38°C before carbonation have an overall lower carbonation depth than mixtures cured at 20°C. </w:t>
      </w:r>
    </w:p>
    <w:p w14:paraId="31405109" w14:textId="0B718955" w:rsidR="00B1783A" w:rsidRDefault="00B1783A" w:rsidP="00BF0E8D">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center"/>
        <w:rPr>
          <w:rFonts w:ascii="Arial" w:hAnsi="Arial" w:cs="Arial"/>
          <w:szCs w:val="24"/>
          <w:lang w:val="en-GB"/>
        </w:rPr>
      </w:pPr>
      <w:r w:rsidRPr="00315871">
        <w:rPr>
          <w:noProof/>
        </w:rPr>
        <w:lastRenderedPageBreak/>
        <w:drawing>
          <wp:inline distT="0" distB="0" distL="0" distR="0" wp14:anchorId="1DAE4B29" wp14:editId="4F5FA9BF">
            <wp:extent cx="2974333" cy="1764000"/>
            <wp:effectExtent l="0" t="0" r="0" b="8255"/>
            <wp:docPr id="16552992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4333" cy="1764000"/>
                    </a:xfrm>
                    <a:prstGeom prst="rect">
                      <a:avLst/>
                    </a:prstGeom>
                    <a:noFill/>
                    <a:ln>
                      <a:noFill/>
                    </a:ln>
                  </pic:spPr>
                </pic:pic>
              </a:graphicData>
            </a:graphic>
          </wp:inline>
        </w:drawing>
      </w:r>
    </w:p>
    <w:p w14:paraId="3ABA5BA9" w14:textId="05106093" w:rsidR="00754171" w:rsidRDefault="00754171" w:rsidP="00754171">
      <w:pPr>
        <w:pStyle w:val="Caption"/>
        <w:rPr>
          <w:szCs w:val="24"/>
        </w:rPr>
      </w:pPr>
      <w:bookmarkStart w:id="0" w:name="_Ref162944632"/>
      <w:r w:rsidRPr="00754171">
        <w:rPr>
          <w:szCs w:val="24"/>
        </w:rPr>
        <w:t xml:space="preserve">Figure </w:t>
      </w:r>
      <w:r w:rsidRPr="00754171">
        <w:rPr>
          <w:szCs w:val="24"/>
        </w:rPr>
        <w:fldChar w:fldCharType="begin"/>
      </w:r>
      <w:r w:rsidRPr="00754171">
        <w:rPr>
          <w:szCs w:val="24"/>
        </w:rPr>
        <w:instrText xml:space="preserve"> SEQ Figure \* ARABIC </w:instrText>
      </w:r>
      <w:r w:rsidRPr="00754171">
        <w:rPr>
          <w:szCs w:val="24"/>
        </w:rPr>
        <w:fldChar w:fldCharType="separate"/>
      </w:r>
      <w:r>
        <w:rPr>
          <w:noProof/>
          <w:szCs w:val="24"/>
        </w:rPr>
        <w:t>1</w:t>
      </w:r>
      <w:r w:rsidRPr="00754171">
        <w:rPr>
          <w:szCs w:val="24"/>
        </w:rPr>
        <w:fldChar w:fldCharType="end"/>
      </w:r>
      <w:bookmarkEnd w:id="0"/>
      <w:r w:rsidRPr="00754171">
        <w:rPr>
          <w:szCs w:val="24"/>
        </w:rPr>
        <w:t xml:space="preserve"> Carbonation depth values for all mixtures</w:t>
      </w:r>
    </w:p>
    <w:p w14:paraId="0E117636" w14:textId="2EAC5B88" w:rsidR="005F7C9A" w:rsidRDefault="005F7C9A" w:rsidP="005F7C9A">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r w:rsidRPr="00813366">
        <w:rPr>
          <w:rFonts w:ascii="Arial" w:hAnsi="Arial" w:cs="Arial"/>
          <w:lang w:val="en-GB"/>
        </w:rPr>
        <w:t xml:space="preserve">This difference also can be seen in, </w:t>
      </w:r>
      <w:r w:rsidRPr="00813366">
        <w:rPr>
          <w:rFonts w:ascii="Arial" w:hAnsi="Arial" w:cs="Arial"/>
          <w:lang w:val="en-GB"/>
        </w:rPr>
        <w:fldChar w:fldCharType="begin"/>
      </w:r>
      <w:r w:rsidRPr="00813366">
        <w:rPr>
          <w:rFonts w:ascii="Arial" w:hAnsi="Arial" w:cs="Arial"/>
          <w:lang w:val="en-GB"/>
        </w:rPr>
        <w:instrText xml:space="preserve"> REF _Ref162945830 \h  \* MERGEFORMAT </w:instrText>
      </w:r>
      <w:r w:rsidRPr="00813366">
        <w:rPr>
          <w:rFonts w:ascii="Arial" w:hAnsi="Arial" w:cs="Arial"/>
          <w:lang w:val="en-GB"/>
        </w:rPr>
      </w:r>
      <w:r w:rsidRPr="00813366">
        <w:rPr>
          <w:rFonts w:ascii="Arial" w:hAnsi="Arial" w:cs="Arial"/>
          <w:lang w:val="en-GB"/>
        </w:rPr>
        <w:fldChar w:fldCharType="separate"/>
      </w:r>
      <w:r w:rsidR="00C3650E" w:rsidRPr="00C3650E">
        <w:rPr>
          <w:rFonts w:ascii="Arial" w:hAnsi="Arial" w:cs="Arial"/>
          <w:lang w:val="en-GB"/>
        </w:rPr>
        <w:t>Figure 2</w:t>
      </w:r>
      <w:r w:rsidRPr="00813366">
        <w:rPr>
          <w:rFonts w:ascii="Arial" w:hAnsi="Arial" w:cs="Arial"/>
          <w:lang w:val="en-GB"/>
        </w:rPr>
        <w:fldChar w:fldCharType="end"/>
      </w:r>
      <w:r w:rsidRPr="00813366">
        <w:rPr>
          <w:rFonts w:ascii="Arial" w:hAnsi="Arial" w:cs="Arial"/>
          <w:lang w:val="en-GB"/>
        </w:rPr>
        <w:t>, where samples sprayed with phenolphthalein after 56 days of exposure to CO</w:t>
      </w:r>
      <w:r w:rsidRPr="007D5A5B">
        <w:rPr>
          <w:rFonts w:ascii="Arial" w:hAnsi="Arial" w:cs="Arial"/>
          <w:vertAlign w:val="subscript"/>
          <w:lang w:val="en-GB"/>
        </w:rPr>
        <w:t>2</w:t>
      </w:r>
      <w:r w:rsidRPr="00813366">
        <w:rPr>
          <w:rFonts w:ascii="Arial" w:hAnsi="Arial" w:cs="Arial"/>
          <w:lang w:val="en-GB"/>
        </w:rPr>
        <w:t xml:space="preserve"> are presented. Both GGBFS and calcined clay samples show smaller carbonation depth in the case of samples cured at higher temperature which also can be seen from samples sprayed with phenolphthalein.</w:t>
      </w:r>
    </w:p>
    <w:p w14:paraId="2B37098C" w14:textId="77777777" w:rsidR="0031129A" w:rsidRPr="0031129A" w:rsidRDefault="0031129A" w:rsidP="005F7C9A">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sz w:val="4"/>
          <w:szCs w:val="2"/>
          <w:lang w:val="en-GB"/>
        </w:rPr>
      </w:pPr>
    </w:p>
    <w:p w14:paraId="0EDD36A2" w14:textId="426AD37D" w:rsidR="001A6EAF" w:rsidRDefault="001A6EAF" w:rsidP="00BF0E8D">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center"/>
        <w:rPr>
          <w:rFonts w:ascii="Arial" w:hAnsi="Arial" w:cs="Arial"/>
          <w:szCs w:val="24"/>
        </w:rPr>
      </w:pPr>
      <w:r w:rsidRPr="001A6EAF">
        <w:drawing>
          <wp:inline distT="0" distB="0" distL="0" distR="0" wp14:anchorId="37C7CEE0" wp14:editId="7D75040B">
            <wp:extent cx="2803574" cy="1800000"/>
            <wp:effectExtent l="0" t="0" r="0" b="0"/>
            <wp:docPr id="4338887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03574" cy="1800000"/>
                    </a:xfrm>
                    <a:prstGeom prst="rect">
                      <a:avLst/>
                    </a:prstGeom>
                    <a:noFill/>
                    <a:ln>
                      <a:noFill/>
                    </a:ln>
                  </pic:spPr>
                </pic:pic>
              </a:graphicData>
            </a:graphic>
          </wp:inline>
        </w:drawing>
      </w:r>
    </w:p>
    <w:p w14:paraId="4491B0CE" w14:textId="10989D5A" w:rsidR="00C3650E" w:rsidRDefault="00C3650E" w:rsidP="00C3650E">
      <w:pPr>
        <w:pStyle w:val="Caption"/>
        <w:rPr>
          <w:szCs w:val="24"/>
        </w:rPr>
      </w:pPr>
      <w:bookmarkStart w:id="1" w:name="_Ref162945830"/>
      <w:r w:rsidRPr="00C3650E">
        <w:rPr>
          <w:szCs w:val="24"/>
        </w:rPr>
        <w:t xml:space="preserve">Figure </w:t>
      </w:r>
      <w:r w:rsidRPr="00C3650E">
        <w:rPr>
          <w:szCs w:val="24"/>
        </w:rPr>
        <w:fldChar w:fldCharType="begin"/>
      </w:r>
      <w:r w:rsidRPr="00C3650E">
        <w:rPr>
          <w:szCs w:val="24"/>
        </w:rPr>
        <w:instrText xml:space="preserve"> SEQ Figure \* ARABIC </w:instrText>
      </w:r>
      <w:r w:rsidRPr="00C3650E">
        <w:rPr>
          <w:szCs w:val="24"/>
        </w:rPr>
        <w:fldChar w:fldCharType="separate"/>
      </w:r>
      <w:r>
        <w:rPr>
          <w:noProof/>
          <w:szCs w:val="24"/>
        </w:rPr>
        <w:t>2</w:t>
      </w:r>
      <w:r w:rsidRPr="00C3650E">
        <w:rPr>
          <w:szCs w:val="24"/>
        </w:rPr>
        <w:fldChar w:fldCharType="end"/>
      </w:r>
      <w:bookmarkEnd w:id="1"/>
      <w:r w:rsidRPr="00C3650E">
        <w:rPr>
          <w:szCs w:val="24"/>
        </w:rPr>
        <w:t xml:space="preserve"> Samples sprayed with phenolphthalein after 56 days of exposure for all three mixtures: a) 20°C, b) 38°C</w:t>
      </w:r>
    </w:p>
    <w:p w14:paraId="68024358" w14:textId="7FA20B54" w:rsidR="00995942" w:rsidRDefault="00995942" w:rsidP="00995942">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r w:rsidRPr="00995942">
        <w:rPr>
          <w:rFonts w:ascii="Arial" w:hAnsi="Arial" w:cs="Arial"/>
          <w:lang w:val="en-GB"/>
        </w:rPr>
        <w:t>Accelerated carbonation had the greatest impact on the change in the compressive strength of the reference mixture for both curing temperatures</w:t>
      </w:r>
      <w:r w:rsidR="00116DC0">
        <w:rPr>
          <w:rFonts w:ascii="Arial" w:hAnsi="Arial" w:cs="Arial"/>
          <w:lang w:val="en-GB"/>
        </w:rPr>
        <w:t xml:space="preserve">, </w:t>
      </w:r>
      <w:r w:rsidR="00116DC0" w:rsidRPr="00995942">
        <w:rPr>
          <w:rFonts w:ascii="Arial" w:hAnsi="Arial" w:cs="Arial"/>
          <w:lang w:val="en-GB"/>
        </w:rPr>
        <w:fldChar w:fldCharType="begin"/>
      </w:r>
      <w:r w:rsidR="00116DC0" w:rsidRPr="00995942">
        <w:rPr>
          <w:rFonts w:ascii="Arial" w:hAnsi="Arial" w:cs="Arial"/>
          <w:lang w:val="en-GB"/>
        </w:rPr>
        <w:instrText xml:space="preserve"> REF _Ref165967792 \h  \* MERGEFORMAT </w:instrText>
      </w:r>
      <w:r w:rsidR="00116DC0" w:rsidRPr="00995942">
        <w:rPr>
          <w:rFonts w:ascii="Arial" w:hAnsi="Arial" w:cs="Arial"/>
          <w:lang w:val="en-GB"/>
        </w:rPr>
      </w:r>
      <w:r w:rsidR="00116DC0" w:rsidRPr="00995942">
        <w:rPr>
          <w:rFonts w:ascii="Arial" w:hAnsi="Arial" w:cs="Arial"/>
          <w:lang w:val="en-GB"/>
        </w:rPr>
        <w:fldChar w:fldCharType="separate"/>
      </w:r>
      <w:r w:rsidR="00116DC0" w:rsidRPr="00223F98">
        <w:rPr>
          <w:rFonts w:ascii="Arial" w:hAnsi="Arial" w:cs="Arial"/>
          <w:lang w:val="en-GB"/>
        </w:rPr>
        <w:t>Figure 3</w:t>
      </w:r>
      <w:r w:rsidR="00116DC0" w:rsidRPr="00995942">
        <w:rPr>
          <w:rFonts w:ascii="Arial" w:hAnsi="Arial" w:cs="Arial"/>
          <w:lang w:val="en-GB"/>
        </w:rPr>
        <w:fldChar w:fldCharType="end"/>
      </w:r>
      <w:r w:rsidRPr="00995942">
        <w:rPr>
          <w:rFonts w:ascii="Arial" w:hAnsi="Arial" w:cs="Arial"/>
          <w:lang w:val="en-GB"/>
        </w:rPr>
        <w:t xml:space="preserve">. </w:t>
      </w:r>
    </w:p>
    <w:p w14:paraId="4EE1B961" w14:textId="7F1B3EAF" w:rsidR="00C3650E" w:rsidRDefault="002C2088" w:rsidP="00BF0E8D">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center"/>
        <w:rPr>
          <w:rFonts w:ascii="Arial" w:hAnsi="Arial" w:cs="Arial"/>
          <w:szCs w:val="24"/>
        </w:rPr>
      </w:pPr>
      <w:r w:rsidRPr="00D93264">
        <w:rPr>
          <w:noProof/>
        </w:rPr>
        <w:drawing>
          <wp:inline distT="0" distB="0" distL="0" distR="0" wp14:anchorId="5340BB21" wp14:editId="255A1ACD">
            <wp:extent cx="3561715" cy="1460310"/>
            <wp:effectExtent l="0" t="0" r="635" b="6985"/>
            <wp:docPr id="5597968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
                      <a:extLst>
                        <a:ext uri="{28A0092B-C50C-407E-A947-70E740481C1C}">
                          <a14:useLocalDpi xmlns:a14="http://schemas.microsoft.com/office/drawing/2010/main" val="0"/>
                        </a:ext>
                      </a:extLst>
                    </a:blip>
                    <a:srcRect b="6668"/>
                    <a:stretch>
                      <a:fillRect/>
                    </a:stretch>
                  </pic:blipFill>
                  <pic:spPr bwMode="auto">
                    <a:xfrm>
                      <a:off x="0" y="0"/>
                      <a:ext cx="3565062" cy="1461682"/>
                    </a:xfrm>
                    <a:prstGeom prst="rect">
                      <a:avLst/>
                    </a:prstGeom>
                    <a:noFill/>
                    <a:ln>
                      <a:noFill/>
                    </a:ln>
                    <a:extLst>
                      <a:ext uri="{53640926-AAD7-44D8-BBD7-CCE9431645EC}">
                        <a14:shadowObscured xmlns:a14="http://schemas.microsoft.com/office/drawing/2010/main"/>
                      </a:ext>
                    </a:extLst>
                  </pic:spPr>
                </pic:pic>
              </a:graphicData>
            </a:graphic>
          </wp:inline>
        </w:drawing>
      </w:r>
    </w:p>
    <w:p w14:paraId="3FA45747" w14:textId="6BF596F2" w:rsidR="00223F98" w:rsidRDefault="00223F98" w:rsidP="00223F98">
      <w:pPr>
        <w:pStyle w:val="Caption"/>
        <w:rPr>
          <w:szCs w:val="24"/>
        </w:rPr>
      </w:pPr>
      <w:bookmarkStart w:id="2" w:name="_Ref165967792"/>
      <w:r w:rsidRPr="00223F98">
        <w:rPr>
          <w:szCs w:val="24"/>
        </w:rPr>
        <w:t xml:space="preserve">Figure </w:t>
      </w:r>
      <w:r w:rsidRPr="00223F98">
        <w:rPr>
          <w:szCs w:val="24"/>
        </w:rPr>
        <w:fldChar w:fldCharType="begin"/>
      </w:r>
      <w:r w:rsidRPr="00223F98">
        <w:rPr>
          <w:szCs w:val="24"/>
        </w:rPr>
        <w:instrText xml:space="preserve"> SEQ Figure \* ARABIC </w:instrText>
      </w:r>
      <w:r w:rsidRPr="00223F98">
        <w:rPr>
          <w:szCs w:val="24"/>
        </w:rPr>
        <w:fldChar w:fldCharType="separate"/>
      </w:r>
      <w:r>
        <w:rPr>
          <w:noProof/>
          <w:szCs w:val="24"/>
        </w:rPr>
        <w:t>3</w:t>
      </w:r>
      <w:r w:rsidRPr="00223F98">
        <w:rPr>
          <w:szCs w:val="24"/>
        </w:rPr>
        <w:fldChar w:fldCharType="end"/>
      </w:r>
      <w:bookmarkEnd w:id="2"/>
      <w:r w:rsidRPr="00223F98">
        <w:rPr>
          <w:szCs w:val="24"/>
        </w:rPr>
        <w:t xml:space="preserve"> Compressive strength values before and after 56 days of carbonation compared to compressive strength prior to carbonation</w:t>
      </w:r>
    </w:p>
    <w:p w14:paraId="39F7AB49" w14:textId="2FB276E0" w:rsidR="00E76993" w:rsidRDefault="0031129A" w:rsidP="00E76993">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r w:rsidRPr="00995942">
        <w:rPr>
          <w:rFonts w:ascii="Arial" w:hAnsi="Arial" w:cs="Arial"/>
          <w:lang w:val="en-GB"/>
        </w:rPr>
        <w:t xml:space="preserve">While the compressive strength of non-converted reference mixture cured at 20°C decreased for almost 30% after 56 days of carbonation, the same mixture, which was converted due to curing at 38°C, experienced an increase in compressive strength for almost 40% after carbonation. In the case of mixtures with slag and calcined clay, a slight increase in strength </w:t>
      </w:r>
      <w:r w:rsidRPr="00995942">
        <w:rPr>
          <w:rFonts w:ascii="Arial" w:hAnsi="Arial" w:cs="Arial"/>
          <w:lang w:val="en-GB"/>
        </w:rPr>
        <w:lastRenderedPageBreak/>
        <w:t>was recorded for all mixtures after 56 days of carbonation, regardless of curing conditions prior to carbonation.</w:t>
      </w:r>
      <w:r w:rsidR="00701B25">
        <w:rPr>
          <w:rFonts w:ascii="Arial" w:hAnsi="Arial" w:cs="Arial"/>
          <w:lang w:val="en-GB"/>
        </w:rPr>
        <w:t xml:space="preserve"> </w:t>
      </w:r>
      <w:r w:rsidR="00E76993" w:rsidRPr="00E76993">
        <w:rPr>
          <w:rFonts w:ascii="Arial" w:hAnsi="Arial" w:cs="Arial"/>
          <w:lang w:val="en-GB"/>
        </w:rPr>
        <w:t xml:space="preserve">Figure </w:t>
      </w:r>
      <w:r w:rsidR="004E24BD">
        <w:rPr>
          <w:rFonts w:ascii="Arial" w:hAnsi="Arial" w:cs="Arial"/>
          <w:lang w:val="en-GB"/>
        </w:rPr>
        <w:t>4</w:t>
      </w:r>
      <w:r w:rsidR="00E76993" w:rsidRPr="00E76993">
        <w:rPr>
          <w:rFonts w:ascii="Arial" w:hAnsi="Arial" w:cs="Arial"/>
          <w:lang w:val="en-GB"/>
        </w:rPr>
        <w:t xml:space="preserve"> shows </w:t>
      </w:r>
      <w:proofErr w:type="spellStart"/>
      <w:r w:rsidR="00E76993" w:rsidRPr="00E76993">
        <w:rPr>
          <w:rFonts w:ascii="Arial" w:hAnsi="Arial" w:cs="Arial"/>
          <w:lang w:val="en-GB"/>
        </w:rPr>
        <w:t>dTG</w:t>
      </w:r>
      <w:proofErr w:type="spellEnd"/>
      <w:r w:rsidR="00E76993" w:rsidRPr="00E76993">
        <w:rPr>
          <w:rFonts w:ascii="Arial" w:hAnsi="Arial" w:cs="Arial"/>
          <w:lang w:val="en-GB"/>
        </w:rPr>
        <w:t xml:space="preserve"> curves for CAC100</w:t>
      </w:r>
      <w:r w:rsidR="004E24BD">
        <w:rPr>
          <w:rFonts w:ascii="Arial" w:hAnsi="Arial" w:cs="Arial"/>
          <w:lang w:val="en-GB"/>
        </w:rPr>
        <w:t>,</w:t>
      </w:r>
      <w:r w:rsidR="00E76993" w:rsidRPr="00E76993">
        <w:rPr>
          <w:rFonts w:ascii="Arial" w:hAnsi="Arial" w:cs="Arial"/>
          <w:lang w:val="en-GB"/>
        </w:rPr>
        <w:t xml:space="preserve"> </w:t>
      </w:r>
      <w:r w:rsidR="004E24BD" w:rsidRPr="004E24BD">
        <w:rPr>
          <w:rFonts w:ascii="Arial" w:hAnsi="Arial" w:cs="Arial"/>
          <w:lang w:val="en-GB"/>
        </w:rPr>
        <w:t xml:space="preserve">CAC70S30 and CAC70C30 </w:t>
      </w:r>
      <w:r w:rsidR="00E76993" w:rsidRPr="00E76993">
        <w:rPr>
          <w:rFonts w:ascii="Arial" w:hAnsi="Arial" w:cs="Arial"/>
          <w:lang w:val="en-GB"/>
        </w:rPr>
        <w:t>mixture cured at 38°C after 56 days of carbonation.</w:t>
      </w:r>
    </w:p>
    <w:p w14:paraId="37465BC2" w14:textId="2B14A20B" w:rsidR="004E24BD" w:rsidRPr="00E76993" w:rsidRDefault="00701B25" w:rsidP="00E76993">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r>
        <w:rPr>
          <w:rFonts w:ascii="Arial" w:hAnsi="Arial" w:cs="Arial"/>
          <w:noProof/>
          <w:lang w:val="en-GB"/>
        </w:rPr>
        <mc:AlternateContent>
          <mc:Choice Requires="wpg">
            <w:drawing>
              <wp:anchor distT="0" distB="0" distL="114300" distR="114300" simplePos="0" relativeHeight="251663360" behindDoc="0" locked="0" layoutInCell="1" allowOverlap="1" wp14:anchorId="51993E69" wp14:editId="2861C52A">
                <wp:simplePos x="0" y="0"/>
                <wp:positionH relativeFrom="column">
                  <wp:posOffset>-597</wp:posOffset>
                </wp:positionH>
                <wp:positionV relativeFrom="paragraph">
                  <wp:posOffset>175644</wp:posOffset>
                </wp:positionV>
                <wp:extent cx="3458423" cy="126748"/>
                <wp:effectExtent l="0" t="0" r="8890" b="6985"/>
                <wp:wrapNone/>
                <wp:docPr id="1568311449" name="Group 3"/>
                <wp:cNvGraphicFramePr/>
                <a:graphic xmlns:a="http://schemas.openxmlformats.org/drawingml/2006/main">
                  <a:graphicData uri="http://schemas.microsoft.com/office/word/2010/wordprocessingGroup">
                    <wpg:wgp>
                      <wpg:cNvGrpSpPr/>
                      <wpg:grpSpPr>
                        <a:xfrm>
                          <a:off x="0" y="0"/>
                          <a:ext cx="3458423" cy="126748"/>
                          <a:chOff x="0" y="0"/>
                          <a:chExt cx="3458423" cy="126748"/>
                        </a:xfrm>
                      </wpg:grpSpPr>
                      <wps:wsp>
                        <wps:cNvPr id="777222616" name="Rectangle 2"/>
                        <wps:cNvSpPr/>
                        <wps:spPr>
                          <a:xfrm>
                            <a:off x="0" y="0"/>
                            <a:ext cx="117695" cy="1267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1527309" name="Rectangle 2"/>
                        <wps:cNvSpPr/>
                        <wps:spPr>
                          <a:xfrm>
                            <a:off x="1715631" y="0"/>
                            <a:ext cx="117695" cy="1267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177365" name="Rectangle 2"/>
                        <wps:cNvSpPr/>
                        <wps:spPr>
                          <a:xfrm>
                            <a:off x="3340728" y="0"/>
                            <a:ext cx="117695" cy="1267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929ED80" id="Group 3" o:spid="_x0000_s1026" style="position:absolute;margin-left:-.05pt;margin-top:13.85pt;width:272.3pt;height:10pt;z-index:251663360" coordsize="34584,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">
                <v:rect id="Rectangle 2" o:spid="_x0000_s1027" style="position:absolute;width:1176;height:1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" fillcolor="white [3212]" stroked="f" strokeweight="2pt"/>
                <v:rect id="Rectangle 2" o:spid="_x0000_s1028" style="position:absolute;left:17156;width:1177;height:1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" fillcolor="white [3212]" stroked="f" strokeweight="2pt"/>
                <v:rect id="Rectangle 2" o:spid="_x0000_s1029" style="position:absolute;left:33407;width:1177;height:1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" fillcolor="white [3212]" stroked="f" strokeweight="2pt"/>
              </v:group>
            </w:pict>
          </mc:Fallback>
        </mc:AlternateContent>
      </w:r>
    </w:p>
    <w:p w14:paraId="0206ABFC" w14:textId="484AB930" w:rsidR="00AE77A2" w:rsidRPr="00B9429C" w:rsidRDefault="00AE77A2" w:rsidP="00AE77A2">
      <w:pPr>
        <w:keepNext/>
        <w:rPr>
          <w:noProof/>
        </w:rPr>
      </w:pPr>
      <w:r w:rsidRPr="00CA2E83">
        <w:rPr>
          <w:noProof/>
        </w:rPr>
        <w:drawing>
          <wp:inline distT="0" distB="0" distL="0" distR="0" wp14:anchorId="1E0F34E4" wp14:editId="57D40A41">
            <wp:extent cx="1667444" cy="1116000"/>
            <wp:effectExtent l="0" t="0" r="9525" b="8255"/>
            <wp:docPr id="16071285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7444" cy="1116000"/>
                    </a:xfrm>
                    <a:prstGeom prst="rect">
                      <a:avLst/>
                    </a:prstGeom>
                    <a:noFill/>
                    <a:ln>
                      <a:noFill/>
                    </a:ln>
                  </pic:spPr>
                </pic:pic>
              </a:graphicData>
            </a:graphic>
          </wp:inline>
        </w:drawing>
      </w:r>
      <w:r w:rsidRPr="007A7631" w:rsidDel="004602A6">
        <w:t xml:space="preserve"> </w:t>
      </w:r>
      <w:r w:rsidR="00F812F0" w:rsidRPr="009D6E04">
        <w:rPr>
          <w:noProof/>
        </w:rPr>
        <w:drawing>
          <wp:inline distT="0" distB="0" distL="0" distR="0" wp14:anchorId="488911B9" wp14:editId="7C9A45D0">
            <wp:extent cx="1624681" cy="1116000"/>
            <wp:effectExtent l="0" t="0" r="0" b="8255"/>
            <wp:docPr id="4961892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4681" cy="1116000"/>
                    </a:xfrm>
                    <a:prstGeom prst="rect">
                      <a:avLst/>
                    </a:prstGeom>
                    <a:noFill/>
                    <a:ln>
                      <a:noFill/>
                    </a:ln>
                  </pic:spPr>
                </pic:pic>
              </a:graphicData>
            </a:graphic>
          </wp:inline>
        </w:drawing>
      </w:r>
      <w:r w:rsidR="00457815" w:rsidRPr="008976AA">
        <w:rPr>
          <w:noProof/>
        </w:rPr>
        <w:drawing>
          <wp:inline distT="0" distB="0" distL="0" distR="0" wp14:anchorId="4F3E6CCA" wp14:editId="45753379">
            <wp:extent cx="1676319" cy="1116000"/>
            <wp:effectExtent l="0" t="0" r="635" b="8255"/>
            <wp:docPr id="3260092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6319" cy="1116000"/>
                    </a:xfrm>
                    <a:prstGeom prst="rect">
                      <a:avLst/>
                    </a:prstGeom>
                    <a:noFill/>
                    <a:ln>
                      <a:noFill/>
                    </a:ln>
                  </pic:spPr>
                </pic:pic>
              </a:graphicData>
            </a:graphic>
          </wp:inline>
        </w:drawing>
      </w:r>
    </w:p>
    <w:p w14:paraId="5500A2E9" w14:textId="193810F3" w:rsidR="00AE77A2" w:rsidRPr="00457815" w:rsidRDefault="00AE77A2" w:rsidP="00457815">
      <w:pPr>
        <w:pStyle w:val="Caption"/>
        <w:rPr>
          <w:szCs w:val="24"/>
        </w:rPr>
      </w:pPr>
      <w:bookmarkStart w:id="3" w:name="_Ref162431327"/>
      <w:r w:rsidRPr="00457815">
        <w:rPr>
          <w:szCs w:val="24"/>
        </w:rPr>
        <w:t xml:space="preserve">Figure </w:t>
      </w:r>
      <w:r w:rsidRPr="00457815">
        <w:rPr>
          <w:szCs w:val="24"/>
        </w:rPr>
        <w:fldChar w:fldCharType="begin"/>
      </w:r>
      <w:r w:rsidRPr="00457815">
        <w:rPr>
          <w:szCs w:val="24"/>
        </w:rPr>
        <w:instrText xml:space="preserve"> SEQ Figure \* ARABIC </w:instrText>
      </w:r>
      <w:r w:rsidRPr="00457815">
        <w:rPr>
          <w:szCs w:val="24"/>
        </w:rPr>
        <w:fldChar w:fldCharType="separate"/>
      </w:r>
      <w:r w:rsidR="004E24BD">
        <w:rPr>
          <w:noProof/>
          <w:szCs w:val="24"/>
        </w:rPr>
        <w:t>4</w:t>
      </w:r>
      <w:r w:rsidRPr="00457815">
        <w:rPr>
          <w:szCs w:val="24"/>
        </w:rPr>
        <w:fldChar w:fldCharType="end"/>
      </w:r>
      <w:bookmarkEnd w:id="3"/>
      <w:r w:rsidRPr="00457815">
        <w:rPr>
          <w:szCs w:val="24"/>
        </w:rPr>
        <w:t xml:space="preserve"> DTG curves of carbonated CAC100</w:t>
      </w:r>
      <w:r w:rsidR="00BC4B8A">
        <w:rPr>
          <w:szCs w:val="24"/>
        </w:rPr>
        <w:t xml:space="preserve">, </w:t>
      </w:r>
      <w:r w:rsidR="0069260E" w:rsidRPr="0069260E">
        <w:rPr>
          <w:szCs w:val="24"/>
        </w:rPr>
        <w:t>CAC70S30</w:t>
      </w:r>
      <w:r w:rsidR="0069260E">
        <w:rPr>
          <w:szCs w:val="24"/>
        </w:rPr>
        <w:t xml:space="preserve"> and </w:t>
      </w:r>
      <w:r w:rsidR="00BC4B8A" w:rsidRPr="00BC4B8A">
        <w:rPr>
          <w:szCs w:val="24"/>
        </w:rPr>
        <w:t>CAC70C30</w:t>
      </w:r>
      <w:r w:rsidRPr="00457815">
        <w:rPr>
          <w:szCs w:val="24"/>
        </w:rPr>
        <w:t xml:space="preserve"> mixture cured at 38°C after 56 days of exposure</w:t>
      </w:r>
    </w:p>
    <w:p w14:paraId="27B2D01B" w14:textId="68C1C429" w:rsidR="007D5A5B" w:rsidRDefault="00A13CBF" w:rsidP="00A13CBF">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r w:rsidRPr="00A13CBF">
        <w:rPr>
          <w:rFonts w:ascii="Arial" w:hAnsi="Arial" w:cs="Arial"/>
          <w:lang w:val="en-GB"/>
        </w:rPr>
        <w:t>In the case of CAC100 mixture cured at 38°C after 56 days of carbonation, there was a decrease in the peak attributed to stable C</w:t>
      </w:r>
      <w:r w:rsidRPr="00CF334D">
        <w:rPr>
          <w:rFonts w:ascii="Arial" w:hAnsi="Arial" w:cs="Arial"/>
          <w:vertAlign w:val="subscript"/>
          <w:lang w:val="en-GB"/>
        </w:rPr>
        <w:t>3</w:t>
      </w:r>
      <w:r w:rsidRPr="00A13CBF">
        <w:rPr>
          <w:rFonts w:ascii="Arial" w:hAnsi="Arial" w:cs="Arial"/>
          <w:lang w:val="en-GB"/>
        </w:rPr>
        <w:t>AH</w:t>
      </w:r>
      <w:r w:rsidRPr="00CF334D">
        <w:rPr>
          <w:rFonts w:ascii="Arial" w:hAnsi="Arial" w:cs="Arial"/>
          <w:vertAlign w:val="subscript"/>
          <w:lang w:val="en-GB"/>
        </w:rPr>
        <w:t>6</w:t>
      </w:r>
      <w:r w:rsidRPr="00A13CBF">
        <w:rPr>
          <w:rFonts w:ascii="Arial" w:hAnsi="Arial" w:cs="Arial"/>
          <w:lang w:val="en-GB"/>
        </w:rPr>
        <w:t xml:space="preserve"> and AH</w:t>
      </w:r>
      <w:r w:rsidRPr="00CF334D">
        <w:rPr>
          <w:rFonts w:ascii="Arial" w:hAnsi="Arial" w:cs="Arial"/>
          <w:vertAlign w:val="subscript"/>
          <w:lang w:val="en-GB"/>
        </w:rPr>
        <w:t>3</w:t>
      </w:r>
      <w:r w:rsidRPr="00A13CBF">
        <w:rPr>
          <w:rFonts w:ascii="Arial" w:hAnsi="Arial" w:cs="Arial"/>
          <w:lang w:val="en-GB"/>
        </w:rPr>
        <w:t xml:space="preserve"> hydrate.</w:t>
      </w:r>
      <w:r w:rsidR="00F62821">
        <w:rPr>
          <w:rFonts w:ascii="Arial" w:hAnsi="Arial" w:cs="Arial"/>
          <w:lang w:val="en-GB"/>
        </w:rPr>
        <w:t xml:space="preserve"> For </w:t>
      </w:r>
      <w:r w:rsidR="00F62821" w:rsidRPr="00F62821">
        <w:rPr>
          <w:rFonts w:ascii="Arial" w:hAnsi="Arial" w:cs="Arial"/>
          <w:lang w:val="en-GB"/>
        </w:rPr>
        <w:t>CAC70S30 and CAC70C30 cured at 38°C, lower peak intensity was detected for CAH</w:t>
      </w:r>
      <w:r w:rsidR="00F62821" w:rsidRPr="00C16A79">
        <w:rPr>
          <w:rFonts w:ascii="Arial" w:hAnsi="Arial" w:cs="Arial"/>
          <w:vertAlign w:val="subscript"/>
          <w:lang w:val="en-GB"/>
        </w:rPr>
        <w:t>10</w:t>
      </w:r>
      <w:r w:rsidR="00F62821" w:rsidRPr="00F62821">
        <w:rPr>
          <w:rFonts w:ascii="Arial" w:hAnsi="Arial" w:cs="Arial"/>
          <w:lang w:val="en-GB"/>
        </w:rPr>
        <w:t xml:space="preserve"> after exposure to CO</w:t>
      </w:r>
      <w:r w:rsidR="00F62821" w:rsidRPr="00C16A79">
        <w:rPr>
          <w:rFonts w:ascii="Arial" w:hAnsi="Arial" w:cs="Arial"/>
          <w:vertAlign w:val="subscript"/>
          <w:lang w:val="en-GB"/>
        </w:rPr>
        <w:t>2</w:t>
      </w:r>
      <w:r w:rsidR="00F62821" w:rsidRPr="00F62821">
        <w:rPr>
          <w:rFonts w:ascii="Arial" w:hAnsi="Arial" w:cs="Arial"/>
          <w:lang w:val="en-GB"/>
        </w:rPr>
        <w:t>, while more C</w:t>
      </w:r>
      <w:r w:rsidR="00F62821" w:rsidRPr="00C16A79">
        <w:rPr>
          <w:rFonts w:ascii="Arial" w:hAnsi="Arial" w:cs="Arial"/>
          <w:vertAlign w:val="subscript"/>
          <w:lang w:val="en-GB"/>
        </w:rPr>
        <w:t>2</w:t>
      </w:r>
      <w:r w:rsidR="00F62821" w:rsidRPr="00F62821">
        <w:rPr>
          <w:rFonts w:ascii="Arial" w:hAnsi="Arial" w:cs="Arial"/>
          <w:lang w:val="en-GB"/>
        </w:rPr>
        <w:t>AH</w:t>
      </w:r>
      <w:r w:rsidR="00F62821" w:rsidRPr="00C16A79">
        <w:rPr>
          <w:rFonts w:ascii="Arial" w:hAnsi="Arial" w:cs="Arial"/>
          <w:vertAlign w:val="subscript"/>
          <w:lang w:val="en-GB"/>
        </w:rPr>
        <w:t>8</w:t>
      </w:r>
      <w:r w:rsidR="00F62821">
        <w:rPr>
          <w:rFonts w:ascii="Arial" w:hAnsi="Arial" w:cs="Arial"/>
          <w:lang w:val="en-GB"/>
        </w:rPr>
        <w:t>,</w:t>
      </w:r>
      <w:r w:rsidR="00F62821" w:rsidRPr="00F62821">
        <w:rPr>
          <w:rFonts w:ascii="Arial" w:hAnsi="Arial" w:cs="Arial"/>
          <w:lang w:val="en-GB"/>
        </w:rPr>
        <w:t xml:space="preserve"> decomposing at lower and higher temperatures, was detected after carbonation. In this case, more C</w:t>
      </w:r>
      <w:r w:rsidR="00F62821" w:rsidRPr="00C16A79">
        <w:rPr>
          <w:rFonts w:ascii="Arial" w:hAnsi="Arial" w:cs="Arial"/>
          <w:vertAlign w:val="subscript"/>
          <w:lang w:val="en-GB"/>
        </w:rPr>
        <w:t>3</w:t>
      </w:r>
      <w:r w:rsidR="00F62821" w:rsidRPr="00F62821">
        <w:rPr>
          <w:rFonts w:ascii="Arial" w:hAnsi="Arial" w:cs="Arial"/>
          <w:lang w:val="en-GB"/>
        </w:rPr>
        <w:t>AH</w:t>
      </w:r>
      <w:r w:rsidR="00F62821" w:rsidRPr="00C16A79">
        <w:rPr>
          <w:rFonts w:ascii="Arial" w:hAnsi="Arial" w:cs="Arial"/>
          <w:vertAlign w:val="subscript"/>
          <w:lang w:val="en-GB"/>
        </w:rPr>
        <w:t>6</w:t>
      </w:r>
      <w:r w:rsidR="00F62821" w:rsidRPr="00F62821">
        <w:rPr>
          <w:rFonts w:ascii="Arial" w:hAnsi="Arial" w:cs="Arial"/>
          <w:lang w:val="en-GB"/>
        </w:rPr>
        <w:t xml:space="preserve"> hydrate was also detected after carbonation</w:t>
      </w:r>
      <w:r w:rsidR="00AD67AC">
        <w:rPr>
          <w:rFonts w:ascii="Arial" w:hAnsi="Arial" w:cs="Arial"/>
          <w:lang w:val="en-GB"/>
        </w:rPr>
        <w:t xml:space="preserve">, as well as </w:t>
      </w:r>
      <w:r w:rsidR="00F62821" w:rsidRPr="00F62821">
        <w:rPr>
          <w:rFonts w:ascii="Arial" w:hAnsi="Arial" w:cs="Arial"/>
          <w:lang w:val="en-GB"/>
        </w:rPr>
        <w:t>CaCO</w:t>
      </w:r>
      <w:r w:rsidR="00F62821" w:rsidRPr="00AD67AC">
        <w:rPr>
          <w:rFonts w:ascii="Arial" w:hAnsi="Arial" w:cs="Arial"/>
          <w:vertAlign w:val="subscript"/>
          <w:lang w:val="en-GB"/>
        </w:rPr>
        <w:t>3</w:t>
      </w:r>
      <w:r w:rsidR="00F62821" w:rsidRPr="00F62821">
        <w:rPr>
          <w:rFonts w:ascii="Arial" w:hAnsi="Arial" w:cs="Arial"/>
          <w:lang w:val="en-GB"/>
        </w:rPr>
        <w:t xml:space="preserve"> and AH</w:t>
      </w:r>
      <w:r w:rsidR="00F62821" w:rsidRPr="00AD67AC">
        <w:rPr>
          <w:rFonts w:ascii="Arial" w:hAnsi="Arial" w:cs="Arial"/>
          <w:vertAlign w:val="subscript"/>
          <w:lang w:val="en-GB"/>
        </w:rPr>
        <w:t>3</w:t>
      </w:r>
      <w:r w:rsidR="00F62821" w:rsidRPr="00F62821">
        <w:rPr>
          <w:rFonts w:ascii="Arial" w:hAnsi="Arial" w:cs="Arial"/>
          <w:lang w:val="en-GB"/>
        </w:rPr>
        <w:t xml:space="preserve"> hydrate</w:t>
      </w:r>
      <w:r w:rsidR="00AD67AC">
        <w:rPr>
          <w:rFonts w:ascii="Arial" w:hAnsi="Arial" w:cs="Arial"/>
          <w:lang w:val="en-GB"/>
        </w:rPr>
        <w:t>.</w:t>
      </w:r>
    </w:p>
    <w:p w14:paraId="3DD15035" w14:textId="77777777" w:rsidR="00987943" w:rsidRPr="00A13CBF" w:rsidRDefault="00987943" w:rsidP="00A13CBF">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p>
    <w:p w14:paraId="0385420F" w14:textId="49DA315F" w:rsidR="007F639E" w:rsidRPr="00F7640D" w:rsidRDefault="00987943" w:rsidP="00987943">
      <w:pPr>
        <w:pStyle w:val="Heading2"/>
      </w:pPr>
      <w:r w:rsidRPr="00F7640D">
        <w:t>KEY FINDINGS</w:t>
      </w:r>
    </w:p>
    <w:p w14:paraId="3888835D" w14:textId="1B20E3D3" w:rsidR="009B11FE" w:rsidRDefault="00987943" w:rsidP="00EF37C0">
      <w:pPr>
        <w:tabs>
          <w:tab w:val="left" w:pos="0"/>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lang w:val="en-GB"/>
        </w:rPr>
      </w:pPr>
      <w:r>
        <w:rPr>
          <w:rFonts w:ascii="Arial" w:hAnsi="Arial" w:cs="Arial"/>
          <w:lang w:val="en-GB"/>
        </w:rPr>
        <w:t>C</w:t>
      </w:r>
      <w:r w:rsidR="001D07C2" w:rsidRPr="0009656A">
        <w:rPr>
          <w:rFonts w:ascii="Arial" w:hAnsi="Arial" w:cs="Arial"/>
          <w:lang w:val="en-GB"/>
        </w:rPr>
        <w:t xml:space="preserve">uring at 38°C for mixtures incorporating slag and calcined clay to CAC based mortar improved resistance to carbonation compared to those samples cured at 20°C. </w:t>
      </w:r>
      <w:r w:rsidR="0031129A">
        <w:rPr>
          <w:rFonts w:ascii="Arial" w:hAnsi="Arial" w:cs="Arial"/>
          <w:lang w:val="en-GB"/>
        </w:rPr>
        <w:t>O</w:t>
      </w:r>
      <w:r w:rsidR="001D07C2" w:rsidRPr="0009656A">
        <w:rPr>
          <w:rFonts w:ascii="Arial" w:hAnsi="Arial" w:cs="Arial"/>
          <w:lang w:val="en-GB"/>
        </w:rPr>
        <w:t>nly a plain CAC reference sample cured at 20°C experienced decrease in compressive strength after 56 days of carbonation</w:t>
      </w:r>
      <w:r w:rsidR="00EF37C0">
        <w:rPr>
          <w:rFonts w:ascii="Arial" w:hAnsi="Arial" w:cs="Arial"/>
          <w:lang w:val="en-GB"/>
        </w:rPr>
        <w:t>, while c</w:t>
      </w:r>
      <w:r w:rsidR="001D07C2" w:rsidRPr="0009656A">
        <w:rPr>
          <w:rFonts w:ascii="Arial" w:hAnsi="Arial" w:cs="Arial"/>
          <w:lang w:val="en-GB"/>
        </w:rPr>
        <w:t>ompressive strength of samples with slag and calcined clay increased after 56 days of exposure to CO</w:t>
      </w:r>
      <w:r w:rsidR="001D07C2" w:rsidRPr="00325F3F">
        <w:rPr>
          <w:rFonts w:ascii="Arial" w:hAnsi="Arial" w:cs="Arial"/>
          <w:vertAlign w:val="subscript"/>
          <w:lang w:val="en-GB"/>
        </w:rPr>
        <w:t>2</w:t>
      </w:r>
      <w:r w:rsidR="001D07C2" w:rsidRPr="0009656A">
        <w:rPr>
          <w:rFonts w:ascii="Arial" w:hAnsi="Arial" w:cs="Arial"/>
          <w:lang w:val="en-GB"/>
        </w:rPr>
        <w:t>.</w:t>
      </w:r>
      <w:r w:rsidR="00EF37C0">
        <w:rPr>
          <w:rFonts w:ascii="Arial" w:hAnsi="Arial" w:cs="Arial"/>
          <w:lang w:val="en-GB"/>
        </w:rPr>
        <w:t xml:space="preserve"> </w:t>
      </w:r>
      <w:r w:rsidR="001D07C2" w:rsidRPr="0009656A">
        <w:rPr>
          <w:rFonts w:ascii="Arial" w:hAnsi="Arial" w:cs="Arial"/>
          <w:lang w:val="en-GB"/>
        </w:rPr>
        <w:t>Mixtures with slag and calcined clay addition did not experience major changes in microstructure after carbonation, which makes these mixtures more stable, in relation to compressive strength, compared to the reference mixture.</w:t>
      </w:r>
    </w:p>
    <w:p w14:paraId="24B925C7" w14:textId="77777777" w:rsidR="0031129A" w:rsidRDefault="0031129A" w:rsidP="0031129A">
      <w:pPr>
        <w:pStyle w:val="Heading2"/>
      </w:pPr>
    </w:p>
    <w:p w14:paraId="34440988" w14:textId="432CB218" w:rsidR="001D1CBD" w:rsidRPr="00F7640D" w:rsidRDefault="00D17602" w:rsidP="0031129A">
      <w:pPr>
        <w:pStyle w:val="Heading2"/>
      </w:pPr>
      <w:r w:rsidRPr="00F7640D">
        <w:t>REFERENCES</w:t>
      </w:r>
    </w:p>
    <w:p w14:paraId="575B0FC7" w14:textId="7FD5AFAA" w:rsidR="009B1760" w:rsidRDefault="00C32B72" w:rsidP="00C32B72">
      <w:pPr>
        <w:pStyle w:val="Legal1"/>
        <w:widowControl/>
        <w:tabs>
          <w:tab w:val="left" w:pos="0"/>
          <w:tab w:val="left" w:pos="566"/>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bCs/>
          <w:szCs w:val="24"/>
          <w:lang w:val="en-GB"/>
        </w:rPr>
      </w:pPr>
      <w:r w:rsidRPr="00C32B72">
        <w:rPr>
          <w:rFonts w:ascii="Arial" w:hAnsi="Arial" w:cs="Arial"/>
          <w:bCs/>
          <w:szCs w:val="24"/>
          <w:lang w:val="en-GB"/>
        </w:rPr>
        <w:t>[</w:t>
      </w:r>
      <w:r w:rsidR="00B43EBA">
        <w:rPr>
          <w:rFonts w:ascii="Arial" w:hAnsi="Arial" w:cs="Arial"/>
          <w:bCs/>
          <w:szCs w:val="24"/>
          <w:lang w:val="en-GB"/>
        </w:rPr>
        <w:t>1</w:t>
      </w:r>
      <w:r w:rsidRPr="00C32B72">
        <w:rPr>
          <w:rFonts w:ascii="Arial" w:hAnsi="Arial" w:cs="Arial"/>
          <w:bCs/>
          <w:szCs w:val="24"/>
          <w:lang w:val="en-GB"/>
        </w:rPr>
        <w:t>]</w:t>
      </w:r>
      <w:r w:rsidRPr="00C32B72">
        <w:rPr>
          <w:rFonts w:ascii="Arial" w:hAnsi="Arial" w:cs="Arial"/>
          <w:bCs/>
          <w:szCs w:val="24"/>
          <w:lang w:val="en-GB"/>
        </w:rPr>
        <w:tab/>
        <w:t xml:space="preserve">Ideker, J.H., Scrivener, K.L., Fryda, H. and </w:t>
      </w:r>
      <w:proofErr w:type="spellStart"/>
      <w:r w:rsidRPr="00C32B72">
        <w:rPr>
          <w:rFonts w:ascii="Arial" w:hAnsi="Arial" w:cs="Arial"/>
          <w:bCs/>
          <w:szCs w:val="24"/>
          <w:lang w:val="en-GB"/>
        </w:rPr>
        <w:t>Touzo</w:t>
      </w:r>
      <w:proofErr w:type="spellEnd"/>
      <w:r w:rsidRPr="00C32B72">
        <w:rPr>
          <w:rFonts w:ascii="Arial" w:hAnsi="Arial" w:cs="Arial"/>
          <w:bCs/>
          <w:szCs w:val="24"/>
          <w:lang w:val="en-GB"/>
        </w:rPr>
        <w:t>, B.: “Calcium aluminate cements (Chapter)”, Lea`s Chemistry of Cement and Concrete (</w:t>
      </w:r>
      <w:proofErr w:type="spellStart"/>
      <w:r w:rsidRPr="00C32B72">
        <w:rPr>
          <w:rFonts w:ascii="Arial" w:hAnsi="Arial" w:cs="Arial"/>
          <w:bCs/>
          <w:szCs w:val="24"/>
          <w:lang w:val="en-GB"/>
        </w:rPr>
        <w:t>ur</w:t>
      </w:r>
      <w:proofErr w:type="spellEnd"/>
      <w:r w:rsidRPr="00C32B72">
        <w:rPr>
          <w:rFonts w:ascii="Arial" w:hAnsi="Arial" w:cs="Arial"/>
          <w:bCs/>
          <w:szCs w:val="24"/>
          <w:lang w:val="en-GB"/>
        </w:rPr>
        <w:t>. Hewlett, P., Liska, M.), England: Elsevier Science Publishers Ltd., 2019.</w:t>
      </w:r>
    </w:p>
    <w:p w14:paraId="5E3B00A3" w14:textId="5CFD2D29" w:rsidR="00B43EBA" w:rsidRDefault="00B43EBA" w:rsidP="00C32B72">
      <w:pPr>
        <w:pStyle w:val="Legal1"/>
        <w:widowControl/>
        <w:tabs>
          <w:tab w:val="left" w:pos="0"/>
          <w:tab w:val="left" w:pos="566"/>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bCs/>
          <w:szCs w:val="24"/>
          <w:lang w:val="en-GB"/>
        </w:rPr>
      </w:pPr>
      <w:r>
        <w:rPr>
          <w:rFonts w:ascii="Arial" w:hAnsi="Arial" w:cs="Arial"/>
          <w:bCs/>
          <w:szCs w:val="24"/>
          <w:lang w:val="en-GB"/>
        </w:rPr>
        <w:t>[2]</w:t>
      </w:r>
      <w:r>
        <w:rPr>
          <w:rFonts w:ascii="Arial" w:hAnsi="Arial" w:cs="Arial"/>
          <w:bCs/>
          <w:szCs w:val="24"/>
          <w:lang w:val="en-GB"/>
        </w:rPr>
        <w:tab/>
      </w:r>
      <w:r w:rsidRPr="00B43EBA">
        <w:rPr>
          <w:rFonts w:ascii="Arial" w:hAnsi="Arial" w:cs="Arial"/>
          <w:bCs/>
          <w:szCs w:val="24"/>
          <w:lang w:val="en-GB"/>
        </w:rPr>
        <w:t xml:space="preserve">Lippiatt, N., Ling, T. C., and Pan, S. Y., Towards carbon-neutral construction materials: Carbonation of cement-based materials and the future perspective, J. Build. Eng., vol. 28, p. 101062, 2020, </w:t>
      </w:r>
      <w:proofErr w:type="spellStart"/>
      <w:r w:rsidRPr="00B43EBA">
        <w:rPr>
          <w:rFonts w:ascii="Arial" w:hAnsi="Arial" w:cs="Arial"/>
          <w:bCs/>
          <w:szCs w:val="24"/>
          <w:lang w:val="en-GB"/>
        </w:rPr>
        <w:t>doi</w:t>
      </w:r>
      <w:proofErr w:type="spellEnd"/>
      <w:r w:rsidRPr="00B43EBA">
        <w:rPr>
          <w:rFonts w:ascii="Arial" w:hAnsi="Arial" w:cs="Arial"/>
          <w:bCs/>
          <w:szCs w:val="24"/>
          <w:lang w:val="en-GB"/>
        </w:rPr>
        <w:t>: 10.1016/j.jobe.2019.101062.</w:t>
      </w:r>
    </w:p>
    <w:p w14:paraId="12ADBC85" w14:textId="7C6BF3D6" w:rsidR="00CF4B42" w:rsidRDefault="00417DC6" w:rsidP="00C32B72">
      <w:pPr>
        <w:pStyle w:val="Legal1"/>
        <w:widowControl/>
        <w:tabs>
          <w:tab w:val="left" w:pos="0"/>
          <w:tab w:val="left" w:pos="566"/>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bCs/>
          <w:szCs w:val="24"/>
          <w:lang w:val="en-GB"/>
        </w:rPr>
      </w:pPr>
      <w:r>
        <w:rPr>
          <w:rFonts w:ascii="Arial" w:hAnsi="Arial" w:cs="Arial"/>
          <w:bCs/>
          <w:szCs w:val="24"/>
          <w:lang w:val="en-GB"/>
        </w:rPr>
        <w:t>[3]</w:t>
      </w:r>
      <w:r>
        <w:rPr>
          <w:rFonts w:ascii="Arial" w:hAnsi="Arial" w:cs="Arial"/>
          <w:bCs/>
          <w:szCs w:val="24"/>
          <w:lang w:val="en-GB"/>
        </w:rPr>
        <w:tab/>
      </w:r>
      <w:r w:rsidR="00CF4B42" w:rsidRPr="00CF4B42">
        <w:rPr>
          <w:rFonts w:ascii="Arial" w:hAnsi="Arial" w:cs="Arial"/>
          <w:bCs/>
          <w:szCs w:val="24"/>
          <w:lang w:val="en-GB"/>
        </w:rPr>
        <w:t xml:space="preserve">Alapati, P., Kurtis, K.E., Carbonation in Alternative Cementitious Materials: Implications on Durability and Mechanical Properties, Sixth Int. Con. Dur. </w:t>
      </w:r>
      <w:proofErr w:type="spellStart"/>
      <w:r w:rsidR="00CF4B42" w:rsidRPr="00CF4B42">
        <w:rPr>
          <w:rFonts w:ascii="Arial" w:hAnsi="Arial" w:cs="Arial"/>
          <w:bCs/>
          <w:szCs w:val="24"/>
          <w:lang w:val="en-GB"/>
        </w:rPr>
        <w:t>Concr</w:t>
      </w:r>
      <w:proofErr w:type="spellEnd"/>
      <w:r w:rsidR="00CF4B42" w:rsidRPr="00CF4B42">
        <w:rPr>
          <w:rFonts w:ascii="Arial" w:hAnsi="Arial" w:cs="Arial"/>
          <w:bCs/>
          <w:szCs w:val="24"/>
          <w:lang w:val="en-GB"/>
        </w:rPr>
        <w:t>. Struct ICC02, (2018).</w:t>
      </w:r>
    </w:p>
    <w:p w14:paraId="51A52F83" w14:textId="2203EFAB" w:rsidR="00A50BFD" w:rsidRPr="008105C7" w:rsidRDefault="000E19AC" w:rsidP="008105C7">
      <w:pPr>
        <w:pStyle w:val="Legal1"/>
        <w:widowControl/>
        <w:tabs>
          <w:tab w:val="left" w:pos="0"/>
          <w:tab w:val="left" w:pos="566"/>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rPr>
          <w:rFonts w:ascii="Arial" w:hAnsi="Arial" w:cs="Arial"/>
          <w:bCs/>
          <w:szCs w:val="24"/>
          <w:lang w:val="en-GB"/>
        </w:rPr>
      </w:pPr>
      <w:r>
        <w:rPr>
          <w:rFonts w:ascii="Arial" w:hAnsi="Arial" w:cs="Arial"/>
          <w:bCs/>
          <w:szCs w:val="24"/>
          <w:lang w:val="en-GB"/>
        </w:rPr>
        <w:t>[4]</w:t>
      </w:r>
      <w:r>
        <w:rPr>
          <w:rFonts w:ascii="Arial" w:hAnsi="Arial" w:cs="Arial"/>
          <w:bCs/>
          <w:szCs w:val="24"/>
          <w:lang w:val="en-GB"/>
        </w:rPr>
        <w:tab/>
      </w:r>
      <w:r w:rsidRPr="000E19AC">
        <w:rPr>
          <w:rFonts w:ascii="Arial" w:hAnsi="Arial" w:cs="Arial"/>
          <w:bCs/>
          <w:szCs w:val="24"/>
          <w:lang w:val="en-GB"/>
        </w:rPr>
        <w:t xml:space="preserve">Park, S. M., Jang, J. G., Son, H. M., and Lee, H. K., Stable conversion of metastable hydrates in calcium aluminate cement by early carbonation curing, Journal of CO2 Utilization, vol. 21. pp. 224–226, 2017, </w:t>
      </w:r>
      <w:proofErr w:type="spellStart"/>
      <w:r w:rsidRPr="000E19AC">
        <w:rPr>
          <w:rFonts w:ascii="Arial" w:hAnsi="Arial" w:cs="Arial"/>
          <w:bCs/>
          <w:szCs w:val="24"/>
          <w:lang w:val="en-GB"/>
        </w:rPr>
        <w:t>doi</w:t>
      </w:r>
      <w:proofErr w:type="spellEnd"/>
      <w:r w:rsidRPr="000E19AC">
        <w:rPr>
          <w:rFonts w:ascii="Arial" w:hAnsi="Arial" w:cs="Arial"/>
          <w:bCs/>
          <w:szCs w:val="24"/>
          <w:lang w:val="en-GB"/>
        </w:rPr>
        <w:t>: 10.1016/j.jcou.2017.07.002.</w:t>
      </w:r>
    </w:p>
    <w:sectPr w:rsidR="00A50BFD" w:rsidRPr="008105C7" w:rsidSect="00F7640D">
      <w:footerReference w:type="even" r:id="rId14"/>
      <w:footerReference w:type="default" r:id="rId15"/>
      <w:headerReference w:type="first" r:id="rId16"/>
      <w:footerReference w:type="first" r:id="rId17"/>
      <w:endnotePr>
        <w:numFmt w:val="decimal"/>
      </w:endnotePr>
      <w:pgSz w:w="11905" w:h="16837" w:code="9"/>
      <w:pgMar w:top="1699" w:right="1699" w:bottom="1699" w:left="1699" w:header="720" w:footer="720" w:gutter="576"/>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24EF90" w14:textId="77777777" w:rsidR="00AD446E" w:rsidRDefault="00AD446E">
      <w:r>
        <w:separator/>
      </w:r>
    </w:p>
  </w:endnote>
  <w:endnote w:type="continuationSeparator" w:id="0">
    <w:p w14:paraId="5FE54F04" w14:textId="77777777" w:rsidR="00AD446E" w:rsidRDefault="00AD44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8A28F" w14:textId="77777777" w:rsidR="00E0465F" w:rsidRDefault="00E0465F" w:rsidP="00E8173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8E5A0B7" w14:textId="77777777" w:rsidR="00E0465F" w:rsidRDefault="00E0465F" w:rsidP="00E0465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10C5B" w14:textId="77777777" w:rsidR="00E0465F" w:rsidRPr="00F7640D" w:rsidRDefault="00E0465F" w:rsidP="00E81735">
    <w:pPr>
      <w:pStyle w:val="Footer"/>
      <w:framePr w:wrap="none" w:vAnchor="text" w:hAnchor="margin" w:xAlign="right" w:y="1"/>
      <w:rPr>
        <w:rStyle w:val="PageNumber"/>
        <w:rFonts w:ascii="Arial" w:hAnsi="Arial" w:cs="Arial"/>
      </w:rPr>
    </w:pPr>
    <w:r w:rsidRPr="00F7640D">
      <w:rPr>
        <w:rStyle w:val="PageNumber"/>
        <w:rFonts w:ascii="Arial" w:hAnsi="Arial" w:cs="Arial"/>
      </w:rPr>
      <w:fldChar w:fldCharType="begin"/>
    </w:r>
    <w:r w:rsidRPr="00F7640D">
      <w:rPr>
        <w:rStyle w:val="PageNumber"/>
        <w:rFonts w:ascii="Arial" w:hAnsi="Arial" w:cs="Arial"/>
      </w:rPr>
      <w:instrText xml:space="preserve">PAGE  </w:instrText>
    </w:r>
    <w:r w:rsidRPr="00F7640D">
      <w:rPr>
        <w:rStyle w:val="PageNumber"/>
        <w:rFonts w:ascii="Arial" w:hAnsi="Arial" w:cs="Arial"/>
      </w:rPr>
      <w:fldChar w:fldCharType="separate"/>
    </w:r>
    <w:r w:rsidRPr="00F7640D">
      <w:rPr>
        <w:rStyle w:val="PageNumber"/>
        <w:rFonts w:ascii="Arial" w:hAnsi="Arial" w:cs="Arial"/>
        <w:noProof/>
      </w:rPr>
      <w:t>3</w:t>
    </w:r>
    <w:r w:rsidRPr="00F7640D">
      <w:rPr>
        <w:rStyle w:val="PageNumber"/>
        <w:rFonts w:ascii="Arial" w:hAnsi="Arial" w:cs="Arial"/>
      </w:rPr>
      <w:fldChar w:fldCharType="end"/>
    </w:r>
  </w:p>
  <w:p w14:paraId="1885F293" w14:textId="77777777" w:rsidR="00E0465F" w:rsidRPr="00F7640D" w:rsidRDefault="00E0465F" w:rsidP="00E0465F">
    <w:pPr>
      <w:pStyle w:val="Footer"/>
      <w:ind w:right="360"/>
      <w:rPr>
        <w:rFonts w:ascii="Arial" w:hAnsi="Arial" w:cs="Aria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74857B" w14:textId="77777777" w:rsidR="007351DA" w:rsidRPr="007351DA" w:rsidRDefault="007351DA" w:rsidP="00E81735">
    <w:pPr>
      <w:pStyle w:val="Footer"/>
      <w:framePr w:wrap="none" w:vAnchor="text" w:hAnchor="margin" w:xAlign="right" w:y="1"/>
      <w:rPr>
        <w:rStyle w:val="PageNumber"/>
      </w:rPr>
    </w:pPr>
    <w:r w:rsidRPr="007351DA">
      <w:rPr>
        <w:rStyle w:val="PageNumber"/>
      </w:rPr>
      <w:fldChar w:fldCharType="begin"/>
    </w:r>
    <w:r w:rsidRPr="007351DA">
      <w:rPr>
        <w:rStyle w:val="PageNumber"/>
      </w:rPr>
      <w:instrText xml:space="preserve">PAGE  </w:instrText>
    </w:r>
    <w:r w:rsidRPr="007351DA">
      <w:rPr>
        <w:rStyle w:val="PageNumber"/>
      </w:rPr>
      <w:fldChar w:fldCharType="separate"/>
    </w:r>
    <w:r w:rsidR="00E0465F">
      <w:rPr>
        <w:rStyle w:val="PageNumber"/>
        <w:noProof/>
      </w:rPr>
      <w:t>1</w:t>
    </w:r>
    <w:r w:rsidRPr="007351DA">
      <w:rPr>
        <w:rStyle w:val="PageNumber"/>
      </w:rPr>
      <w:fldChar w:fldCharType="end"/>
    </w:r>
  </w:p>
  <w:p w14:paraId="6210ACEE" w14:textId="65DE42DF" w:rsidR="007351DA" w:rsidRPr="00F7640D" w:rsidRDefault="007351DA" w:rsidP="007351DA">
    <w:pPr>
      <w:pStyle w:val="Footer"/>
      <w:ind w:right="360"/>
      <w:rPr>
        <w:rFonts w:ascii="Arial" w:hAnsi="Arial" w:cs="Arial"/>
      </w:rPr>
    </w:pPr>
    <w:r w:rsidRPr="00F7640D">
      <w:rPr>
        <w:rFonts w:ascii="Arial" w:hAnsi="Arial" w:cs="Arial"/>
        <w:i/>
      </w:rPr>
      <w:t>*</w:t>
    </w:r>
    <w:r w:rsidR="00701B25">
      <w:rPr>
        <w:rFonts w:ascii="Arial" w:hAnsi="Arial" w:cs="Arial"/>
        <w:i/>
      </w:rPr>
      <w:t>marijana.serdar@grad.unizg.hr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1B9C1" w14:textId="77777777" w:rsidR="00AD446E" w:rsidRDefault="00AD446E">
      <w:r>
        <w:separator/>
      </w:r>
    </w:p>
  </w:footnote>
  <w:footnote w:type="continuationSeparator" w:id="0">
    <w:p w14:paraId="41CA11F2" w14:textId="77777777" w:rsidR="00AD446E" w:rsidRDefault="00AD44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D71BB" w14:textId="73CB75F8" w:rsidR="00F7640D" w:rsidRDefault="00F7640D">
    <w:pPr>
      <w:pStyle w:val="Header"/>
    </w:pPr>
    <w:r w:rsidRPr="00974929">
      <w:rPr>
        <w:noProof/>
      </w:rPr>
      <w:drawing>
        <wp:inline distT="0" distB="0" distL="0" distR="0" wp14:anchorId="5F79B26A" wp14:editId="586D810F">
          <wp:extent cx="3884531" cy="1203125"/>
          <wp:effectExtent l="0" t="0" r="1905" b="3810"/>
          <wp:docPr id="7" name="Picture 1" descr="A close-up of a logo&#10;&#10;Description automatically generated">
            <a:extLst xmlns:a="http://schemas.openxmlformats.org/drawingml/2006/main">
              <a:ext uri="{FF2B5EF4-FFF2-40B4-BE49-F238E27FC236}">
                <a16:creationId xmlns:a16="http://schemas.microsoft.com/office/drawing/2014/main" id="{B71F3E7E-96DE-A587-CBC2-B375ED8BC6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A close-up of a logo&#10;&#10;Description automatically generated">
                    <a:extLst>
                      <a:ext uri="{FF2B5EF4-FFF2-40B4-BE49-F238E27FC236}">
                        <a16:creationId xmlns:a16="http://schemas.microsoft.com/office/drawing/2014/main" id="{B71F3E7E-96DE-A587-CBC2-B375ED8BC6CB}"/>
                      </a:ext>
                    </a:extLst>
                  </pic:cNvPr>
                  <pic:cNvPicPr>
                    <a:picLocks noChangeAspect="1"/>
                  </pic:cNvPicPr>
                </pic:nvPicPr>
                <pic:blipFill>
                  <a:blip r:embed="rId1"/>
                  <a:stretch>
                    <a:fillRect/>
                  </a:stretch>
                </pic:blipFill>
                <pic:spPr>
                  <a:xfrm>
                    <a:off x="0" y="0"/>
                    <a:ext cx="3926251" cy="121604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decimal"/>
      <w:suff w:val="nothing"/>
      <w:lvlText w:val="%1"/>
      <w:lvlJc w:val="left"/>
    </w:lvl>
    <w:lvl w:ilvl="1">
      <w:start w:val="1"/>
      <w:numFmt w:val="decimal"/>
      <w:suff w:val="nothing"/>
      <w:lvlText w:val="%1.%2"/>
      <w:lvlJc w:val="left"/>
    </w:lvl>
    <w:lvl w:ilvl="2">
      <w:start w:val="1"/>
      <w:numFmt w:val="decimal"/>
      <w:suff w:val="nothing"/>
      <w:lvlText w:val="%1.%2.%3"/>
      <w:lvlJc w:val="left"/>
    </w:lvl>
    <w:lvl w:ilvl="3">
      <w:start w:val="1"/>
      <w:numFmt w:val="decimal"/>
      <w:suff w:val="nothing"/>
      <w:lvlText w:val="%1.%2.%3.%4"/>
      <w:lvlJc w:val="left"/>
    </w:lvl>
    <w:lvl w:ilvl="4">
      <w:start w:val="1"/>
      <w:numFmt w:val="decimal"/>
      <w:suff w:val="nothing"/>
      <w:lvlText w:val="%1.%2.%3.%4.%5"/>
      <w:lvlJc w:val="left"/>
    </w:lvl>
    <w:lvl w:ilvl="5">
      <w:start w:val="1"/>
      <w:numFmt w:val="decimal"/>
      <w:suff w:val="nothing"/>
      <w:lvlText w:val="%1.%2.%3.%4.%5.%6"/>
      <w:lvlJc w:val="left"/>
    </w:lvl>
    <w:lvl w:ilvl="6">
      <w:start w:val="1"/>
      <w:numFmt w:val="decimal"/>
      <w:suff w:val="nothing"/>
      <w:lvlText w:val="%1.%2.%3.%4.%5.%6.%7"/>
      <w:lvlJc w:val="left"/>
    </w:lvl>
    <w:lvl w:ilvl="7">
      <w:start w:val="1"/>
      <w:numFmt w:val="decimal"/>
      <w:suff w:val="nothing"/>
      <w:lvlText w:val="%1.%2.%3.%4.%5.%6.%7.%8"/>
      <w:lvlJc w:val="left"/>
    </w:lvl>
    <w:lvl w:ilvl="8">
      <w:start w:val="1"/>
      <w:numFmt w:val="lowerRoman"/>
      <w:suff w:val="nothing"/>
      <w:lvlText w:val="%9)"/>
      <w:lvlJc w:val="left"/>
    </w:lvl>
  </w:abstractNum>
  <w:abstractNum w:abstractNumId="1" w15:restartNumberingAfterBreak="0">
    <w:nsid w:val="0B0F5DC3"/>
    <w:multiLevelType w:val="hybridMultilevel"/>
    <w:tmpl w:val="9B5210B2"/>
    <w:lvl w:ilvl="0" w:tplc="1EF4ED46">
      <w:start w:val="1"/>
      <w:numFmt w:val="decimal"/>
      <w:pStyle w:val="EndnoteText"/>
      <w:lvlText w:val="[%1]"/>
      <w:lvlJc w:val="left"/>
      <w:pPr>
        <w:tabs>
          <w:tab w:val="num" w:pos="567"/>
        </w:tabs>
        <w:ind w:left="567" w:hanging="567"/>
      </w:pPr>
      <w:rPr>
        <w:rFonts w:ascii="Garamond" w:hAnsi="Garamond" w:hint="default"/>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C4C7DB6"/>
    <w:multiLevelType w:val="hybridMultilevel"/>
    <w:tmpl w:val="F3BE4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3F07C3"/>
    <w:multiLevelType w:val="hybridMultilevel"/>
    <w:tmpl w:val="FC7E06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FE1B1A"/>
    <w:multiLevelType w:val="hybridMultilevel"/>
    <w:tmpl w:val="C9CAD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456EE7"/>
    <w:multiLevelType w:val="hybridMultilevel"/>
    <w:tmpl w:val="C8D4F6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F935FF"/>
    <w:multiLevelType w:val="hybridMultilevel"/>
    <w:tmpl w:val="77C4F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C402F8"/>
    <w:multiLevelType w:val="hybridMultilevel"/>
    <w:tmpl w:val="4B7AF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6069C0"/>
    <w:multiLevelType w:val="hybridMultilevel"/>
    <w:tmpl w:val="4C780C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0445DA2"/>
    <w:multiLevelType w:val="hybridMultilevel"/>
    <w:tmpl w:val="ADE49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32915738">
    <w:abstractNumId w:val="0"/>
  </w:num>
  <w:num w:numId="2" w16cid:durableId="450326837">
    <w:abstractNumId w:val="1"/>
  </w:num>
  <w:num w:numId="3" w16cid:durableId="1172454485">
    <w:abstractNumId w:val="2"/>
  </w:num>
  <w:num w:numId="4" w16cid:durableId="192378722">
    <w:abstractNumId w:val="7"/>
  </w:num>
  <w:num w:numId="5" w16cid:durableId="390269958">
    <w:abstractNumId w:val="4"/>
  </w:num>
  <w:num w:numId="6" w16cid:durableId="2058897220">
    <w:abstractNumId w:val="5"/>
  </w:num>
  <w:num w:numId="7" w16cid:durableId="286277593">
    <w:abstractNumId w:val="6"/>
  </w:num>
  <w:num w:numId="8" w16cid:durableId="1064259987">
    <w:abstractNumId w:val="8"/>
  </w:num>
  <w:num w:numId="9" w16cid:durableId="872499780">
    <w:abstractNumId w:val="9"/>
  </w:num>
  <w:num w:numId="10" w16cid:durableId="181575540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proofState w:spelling="clean" w:grammar="clean"/>
  <w:defaultTabStop w:val="720"/>
  <w:hyphenationZone w:val="0"/>
  <w:doNotHyphenateCaps/>
  <w:drawingGridHorizontalSpacing w:val="120"/>
  <w:drawingGridVerticalSpacing w:val="163"/>
  <w:displayHorizontalDrawingGridEvery w:val="0"/>
  <w:displayVerticalDrawingGridEvery w:val="0"/>
  <w:doNotShadeFormData/>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 ICAA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sd95w9zwrr0vieardsxder30faetpx9wsev&quot;&gt;NSFCAREER_2012&lt;record-ids&gt;&lt;item&gt;108&lt;/item&gt;&lt;item&gt;153&lt;/item&gt;&lt;item&gt;154&lt;/item&gt;&lt;item&gt;156&lt;/item&gt;&lt;item&gt;157&lt;/item&gt;&lt;item&gt;158&lt;/item&gt;&lt;item&gt;681&lt;/item&gt;&lt;item&gt;932&lt;/item&gt;&lt;item&gt;936&lt;/item&gt;&lt;item&gt;1080&lt;/item&gt;&lt;item&gt;1081&lt;/item&gt;&lt;item&gt;1082&lt;/item&gt;&lt;item&gt;1084&lt;/item&gt;&lt;item&gt;1085&lt;/item&gt;&lt;item&gt;1086&lt;/item&gt;&lt;item&gt;1105&lt;/item&gt;&lt;/record-ids&gt;&lt;/item&gt;&lt;/Libraries&gt;"/>
  </w:docVars>
  <w:rsids>
    <w:rsidRoot w:val="00B54572"/>
    <w:rsid w:val="00012823"/>
    <w:rsid w:val="000301C9"/>
    <w:rsid w:val="000327C8"/>
    <w:rsid w:val="00032CDC"/>
    <w:rsid w:val="00042E33"/>
    <w:rsid w:val="00055962"/>
    <w:rsid w:val="00074282"/>
    <w:rsid w:val="0008697E"/>
    <w:rsid w:val="0009331D"/>
    <w:rsid w:val="0009656A"/>
    <w:rsid w:val="000973EB"/>
    <w:rsid w:val="000A3762"/>
    <w:rsid w:val="000B0DAD"/>
    <w:rsid w:val="000B6B97"/>
    <w:rsid w:val="000E19AC"/>
    <w:rsid w:val="000F52AE"/>
    <w:rsid w:val="00101B11"/>
    <w:rsid w:val="00103FA0"/>
    <w:rsid w:val="00111E00"/>
    <w:rsid w:val="00116039"/>
    <w:rsid w:val="00116DC0"/>
    <w:rsid w:val="00122E0B"/>
    <w:rsid w:val="001410E4"/>
    <w:rsid w:val="00151202"/>
    <w:rsid w:val="00157720"/>
    <w:rsid w:val="001579E0"/>
    <w:rsid w:val="0016550C"/>
    <w:rsid w:val="00170AF3"/>
    <w:rsid w:val="00174021"/>
    <w:rsid w:val="00182A3A"/>
    <w:rsid w:val="001868A5"/>
    <w:rsid w:val="001A6EAF"/>
    <w:rsid w:val="001C41D0"/>
    <w:rsid w:val="001C51E6"/>
    <w:rsid w:val="001C7FCB"/>
    <w:rsid w:val="001D07C2"/>
    <w:rsid w:val="001D1CBD"/>
    <w:rsid w:val="001E1C0A"/>
    <w:rsid w:val="001E2EA4"/>
    <w:rsid w:val="001E33E8"/>
    <w:rsid w:val="001E432F"/>
    <w:rsid w:val="001E6905"/>
    <w:rsid w:val="00215CEE"/>
    <w:rsid w:val="00216DA1"/>
    <w:rsid w:val="00223F98"/>
    <w:rsid w:val="002335E3"/>
    <w:rsid w:val="0025626A"/>
    <w:rsid w:val="002709B6"/>
    <w:rsid w:val="002725BE"/>
    <w:rsid w:val="00280755"/>
    <w:rsid w:val="002A72C2"/>
    <w:rsid w:val="002B0488"/>
    <w:rsid w:val="002B30CA"/>
    <w:rsid w:val="002C2088"/>
    <w:rsid w:val="002D6C58"/>
    <w:rsid w:val="002E052C"/>
    <w:rsid w:val="0031129A"/>
    <w:rsid w:val="003155CE"/>
    <w:rsid w:val="0031575D"/>
    <w:rsid w:val="00325F3F"/>
    <w:rsid w:val="00326440"/>
    <w:rsid w:val="00330481"/>
    <w:rsid w:val="00341241"/>
    <w:rsid w:val="00343FFB"/>
    <w:rsid w:val="003470C2"/>
    <w:rsid w:val="00347739"/>
    <w:rsid w:val="00351528"/>
    <w:rsid w:val="003579EF"/>
    <w:rsid w:val="003810E9"/>
    <w:rsid w:val="00387AF6"/>
    <w:rsid w:val="003A0FAF"/>
    <w:rsid w:val="003A178B"/>
    <w:rsid w:val="003C395D"/>
    <w:rsid w:val="003F1041"/>
    <w:rsid w:val="00416527"/>
    <w:rsid w:val="00417DC6"/>
    <w:rsid w:val="00442CAB"/>
    <w:rsid w:val="00445DF2"/>
    <w:rsid w:val="0045362D"/>
    <w:rsid w:val="00454153"/>
    <w:rsid w:val="00457815"/>
    <w:rsid w:val="0046690D"/>
    <w:rsid w:val="00490F1A"/>
    <w:rsid w:val="00493FBC"/>
    <w:rsid w:val="004B69F2"/>
    <w:rsid w:val="004C0148"/>
    <w:rsid w:val="004C57FC"/>
    <w:rsid w:val="004D0162"/>
    <w:rsid w:val="004E24BD"/>
    <w:rsid w:val="004F075F"/>
    <w:rsid w:val="0052400E"/>
    <w:rsid w:val="00535860"/>
    <w:rsid w:val="0053655A"/>
    <w:rsid w:val="00540404"/>
    <w:rsid w:val="005419C9"/>
    <w:rsid w:val="005537E5"/>
    <w:rsid w:val="005607C9"/>
    <w:rsid w:val="005618CD"/>
    <w:rsid w:val="00561CBF"/>
    <w:rsid w:val="005934A5"/>
    <w:rsid w:val="005978E0"/>
    <w:rsid w:val="005A6773"/>
    <w:rsid w:val="005E034E"/>
    <w:rsid w:val="005F13A1"/>
    <w:rsid w:val="005F7C9A"/>
    <w:rsid w:val="00606D30"/>
    <w:rsid w:val="0060786E"/>
    <w:rsid w:val="00622EF0"/>
    <w:rsid w:val="00635E82"/>
    <w:rsid w:val="00636DAA"/>
    <w:rsid w:val="006538B1"/>
    <w:rsid w:val="006608E6"/>
    <w:rsid w:val="0067219F"/>
    <w:rsid w:val="00673CD4"/>
    <w:rsid w:val="0069260E"/>
    <w:rsid w:val="00693D56"/>
    <w:rsid w:val="006D3FB1"/>
    <w:rsid w:val="006E355F"/>
    <w:rsid w:val="006F3D70"/>
    <w:rsid w:val="00700B9F"/>
    <w:rsid w:val="00701B25"/>
    <w:rsid w:val="007232A5"/>
    <w:rsid w:val="00727D21"/>
    <w:rsid w:val="00730A20"/>
    <w:rsid w:val="00730E9B"/>
    <w:rsid w:val="0073383D"/>
    <w:rsid w:val="007351DA"/>
    <w:rsid w:val="00753F25"/>
    <w:rsid w:val="00754171"/>
    <w:rsid w:val="00754A8C"/>
    <w:rsid w:val="00755A3A"/>
    <w:rsid w:val="00762260"/>
    <w:rsid w:val="00772867"/>
    <w:rsid w:val="00777CB4"/>
    <w:rsid w:val="00785336"/>
    <w:rsid w:val="00795203"/>
    <w:rsid w:val="007A3313"/>
    <w:rsid w:val="007B3FFD"/>
    <w:rsid w:val="007D5A5B"/>
    <w:rsid w:val="007F0BF9"/>
    <w:rsid w:val="007F4131"/>
    <w:rsid w:val="007F639E"/>
    <w:rsid w:val="008105C7"/>
    <w:rsid w:val="00813366"/>
    <w:rsid w:val="00822AC6"/>
    <w:rsid w:val="008479FA"/>
    <w:rsid w:val="00870165"/>
    <w:rsid w:val="00880550"/>
    <w:rsid w:val="00884CB2"/>
    <w:rsid w:val="0088746E"/>
    <w:rsid w:val="008A60F2"/>
    <w:rsid w:val="008B22A5"/>
    <w:rsid w:val="008D676A"/>
    <w:rsid w:val="00910106"/>
    <w:rsid w:val="00926EF3"/>
    <w:rsid w:val="00931426"/>
    <w:rsid w:val="00934518"/>
    <w:rsid w:val="00943D68"/>
    <w:rsid w:val="009509E1"/>
    <w:rsid w:val="00955E08"/>
    <w:rsid w:val="00976B2E"/>
    <w:rsid w:val="00987943"/>
    <w:rsid w:val="00995942"/>
    <w:rsid w:val="009B11FE"/>
    <w:rsid w:val="009B1760"/>
    <w:rsid w:val="009D44D5"/>
    <w:rsid w:val="009D5434"/>
    <w:rsid w:val="009F33DC"/>
    <w:rsid w:val="00A13CBF"/>
    <w:rsid w:val="00A25C0F"/>
    <w:rsid w:val="00A46D06"/>
    <w:rsid w:val="00A50BFD"/>
    <w:rsid w:val="00A64C69"/>
    <w:rsid w:val="00A86A45"/>
    <w:rsid w:val="00AA6830"/>
    <w:rsid w:val="00AB4736"/>
    <w:rsid w:val="00AD446E"/>
    <w:rsid w:val="00AD67AC"/>
    <w:rsid w:val="00AE2073"/>
    <w:rsid w:val="00AE5C89"/>
    <w:rsid w:val="00AE77A2"/>
    <w:rsid w:val="00AF15E6"/>
    <w:rsid w:val="00B012A1"/>
    <w:rsid w:val="00B1783A"/>
    <w:rsid w:val="00B21D1D"/>
    <w:rsid w:val="00B43EBA"/>
    <w:rsid w:val="00B46CA6"/>
    <w:rsid w:val="00B54572"/>
    <w:rsid w:val="00B82781"/>
    <w:rsid w:val="00B87129"/>
    <w:rsid w:val="00BA435E"/>
    <w:rsid w:val="00BB0EF5"/>
    <w:rsid w:val="00BC4B8A"/>
    <w:rsid w:val="00BE4658"/>
    <w:rsid w:val="00BF0E8D"/>
    <w:rsid w:val="00BF2BAC"/>
    <w:rsid w:val="00BF2FFB"/>
    <w:rsid w:val="00BF3F8D"/>
    <w:rsid w:val="00C109CA"/>
    <w:rsid w:val="00C16A79"/>
    <w:rsid w:val="00C32B72"/>
    <w:rsid w:val="00C3650E"/>
    <w:rsid w:val="00C37261"/>
    <w:rsid w:val="00C379C2"/>
    <w:rsid w:val="00C405D4"/>
    <w:rsid w:val="00C447BF"/>
    <w:rsid w:val="00C524ED"/>
    <w:rsid w:val="00C52CA8"/>
    <w:rsid w:val="00C63267"/>
    <w:rsid w:val="00C709A8"/>
    <w:rsid w:val="00C71ED4"/>
    <w:rsid w:val="00C74619"/>
    <w:rsid w:val="00C74AE2"/>
    <w:rsid w:val="00C90C74"/>
    <w:rsid w:val="00CA6F53"/>
    <w:rsid w:val="00CD3B01"/>
    <w:rsid w:val="00CE76CA"/>
    <w:rsid w:val="00CE7FC5"/>
    <w:rsid w:val="00CF334D"/>
    <w:rsid w:val="00CF4B42"/>
    <w:rsid w:val="00D009E3"/>
    <w:rsid w:val="00D13D92"/>
    <w:rsid w:val="00D17602"/>
    <w:rsid w:val="00D31E66"/>
    <w:rsid w:val="00D41ECA"/>
    <w:rsid w:val="00D91E28"/>
    <w:rsid w:val="00DA6882"/>
    <w:rsid w:val="00DC5786"/>
    <w:rsid w:val="00DE13C1"/>
    <w:rsid w:val="00E0023D"/>
    <w:rsid w:val="00E0237A"/>
    <w:rsid w:val="00E0465F"/>
    <w:rsid w:val="00E10E23"/>
    <w:rsid w:val="00E11E4C"/>
    <w:rsid w:val="00E13C26"/>
    <w:rsid w:val="00E32077"/>
    <w:rsid w:val="00E57B0F"/>
    <w:rsid w:val="00E66553"/>
    <w:rsid w:val="00E73A2F"/>
    <w:rsid w:val="00E76993"/>
    <w:rsid w:val="00E811D1"/>
    <w:rsid w:val="00E95094"/>
    <w:rsid w:val="00EA1F5E"/>
    <w:rsid w:val="00EA3B1D"/>
    <w:rsid w:val="00EB0C4B"/>
    <w:rsid w:val="00EB3B7F"/>
    <w:rsid w:val="00EB6008"/>
    <w:rsid w:val="00EB7C32"/>
    <w:rsid w:val="00ED1E08"/>
    <w:rsid w:val="00ED7490"/>
    <w:rsid w:val="00EF2CA6"/>
    <w:rsid w:val="00EF37C0"/>
    <w:rsid w:val="00EF3D00"/>
    <w:rsid w:val="00EF58FC"/>
    <w:rsid w:val="00F62821"/>
    <w:rsid w:val="00F6764E"/>
    <w:rsid w:val="00F7640D"/>
    <w:rsid w:val="00F812F0"/>
    <w:rsid w:val="00F85F51"/>
    <w:rsid w:val="00FA3D3A"/>
    <w:rsid w:val="00FB29E1"/>
    <w:rsid w:val="00FB34B1"/>
    <w:rsid w:val="00FB5293"/>
    <w:rsid w:val="00FC1AB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79E7B9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351DA"/>
    <w:rPr>
      <w:sz w:val="24"/>
      <w:lang w:val="en-US" w:eastAsia="en-US"/>
    </w:rPr>
  </w:style>
  <w:style w:type="paragraph" w:styleId="Heading1">
    <w:name w:val="heading 1"/>
    <w:basedOn w:val="Normal"/>
    <w:next w:val="Normal"/>
    <w:link w:val="Heading1Char"/>
    <w:uiPriority w:val="9"/>
    <w:qFormat/>
    <w:rsid w:val="00F7640D"/>
    <w:pPr>
      <w:keepNext/>
      <w:keepLines/>
      <w:spacing w:before="120"/>
      <w:jc w:val="center"/>
      <w:outlineLvl w:val="0"/>
    </w:pPr>
    <w:rPr>
      <w:rFonts w:ascii="Arial" w:eastAsiaTheme="majorEastAsia" w:hAnsi="Arial" w:cstheme="majorBidi"/>
      <w:b/>
      <w:caps/>
      <w:color w:val="000000" w:themeColor="text1"/>
      <w:sz w:val="28"/>
      <w:szCs w:val="32"/>
      <w:lang w:val="en-GB"/>
    </w:rPr>
  </w:style>
  <w:style w:type="paragraph" w:styleId="Heading2">
    <w:name w:val="heading 2"/>
    <w:basedOn w:val="Normal"/>
    <w:next w:val="Normal"/>
    <w:link w:val="Heading2Char"/>
    <w:uiPriority w:val="9"/>
    <w:unhideWhenUsed/>
    <w:qFormat/>
    <w:rsid w:val="00F7640D"/>
    <w:pPr>
      <w:keepNext/>
      <w:keepLines/>
      <w:jc w:val="center"/>
      <w:outlineLvl w:val="1"/>
    </w:pPr>
    <w:rPr>
      <w:rFonts w:ascii="Arial" w:eastAsiaTheme="majorEastAsia" w:hAnsi="Arial" w:cstheme="majorBidi"/>
      <w:b/>
      <w:color w:val="000000" w:themeColor="text1"/>
      <w:szCs w:val="26"/>
    </w:rPr>
  </w:style>
  <w:style w:type="paragraph" w:styleId="Heading3">
    <w:name w:val="heading 3"/>
    <w:basedOn w:val="Normal"/>
    <w:next w:val="Normal"/>
    <w:link w:val="Heading3Char"/>
    <w:uiPriority w:val="9"/>
    <w:unhideWhenUsed/>
    <w:qFormat/>
    <w:rsid w:val="00F7640D"/>
    <w:pPr>
      <w:keepNext/>
      <w:keepLines/>
      <w:spacing w:before="40"/>
      <w:outlineLvl w:val="2"/>
    </w:pPr>
    <w:rPr>
      <w:rFonts w:ascii="Arial" w:eastAsiaTheme="majorEastAsia" w:hAnsi="Arial" w:cstheme="majorBidi"/>
      <w:b/>
      <w:color w:val="000000" w:themeColor="text1"/>
      <w:szCs w:val="24"/>
    </w:rPr>
  </w:style>
  <w:style w:type="paragraph" w:styleId="Heading4">
    <w:name w:val="heading 4"/>
    <w:basedOn w:val="Normal"/>
    <w:next w:val="Normal"/>
    <w:link w:val="Heading4Char"/>
    <w:uiPriority w:val="9"/>
    <w:unhideWhenUsed/>
    <w:qFormat/>
    <w:rsid w:val="00F7640D"/>
    <w:pPr>
      <w:keepNext/>
      <w:keepLines/>
      <w:spacing w:before="40"/>
      <w:outlineLvl w:val="3"/>
    </w:pPr>
    <w:rPr>
      <w:rFonts w:ascii="Arial" w:eastAsiaTheme="majorEastAsia" w:hAnsi="Arial" w:cstheme="majorBidi"/>
      <w:iCs/>
      <w:color w:val="000000" w:themeColor="text1"/>
      <w:u w:val="single"/>
    </w:rPr>
  </w:style>
  <w:style w:type="paragraph" w:styleId="Heading5">
    <w:name w:val="heading 5"/>
    <w:basedOn w:val="Normal"/>
    <w:next w:val="Normal"/>
    <w:link w:val="Heading5Char"/>
    <w:uiPriority w:val="9"/>
    <w:unhideWhenUsed/>
    <w:qFormat/>
    <w:rsid w:val="00F7640D"/>
    <w:pPr>
      <w:keepNext/>
      <w:keepLines/>
      <w:spacing w:before="40"/>
      <w:outlineLvl w:val="4"/>
    </w:pPr>
    <w:rPr>
      <w:rFonts w:ascii="Arial" w:eastAsiaTheme="majorEastAsia" w:hAnsi="Arial" w:cstheme="majorBidi"/>
      <w:i/>
      <w:color w:val="000000" w:themeColor="tex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57720"/>
    <w:rPr>
      <w:color w:val="0000FF" w:themeColor="hyperlink"/>
      <w:u w:val="single"/>
    </w:rPr>
  </w:style>
  <w:style w:type="paragraph" w:customStyle="1" w:styleId="Legal1">
    <w:name w:val="Legal 1"/>
    <w:basedOn w:val="Normal"/>
    <w:rsid w:val="009509E1"/>
    <w:pPr>
      <w:widowControl w:val="0"/>
    </w:pPr>
  </w:style>
  <w:style w:type="paragraph" w:customStyle="1" w:styleId="Legal2">
    <w:name w:val="Legal 2"/>
    <w:basedOn w:val="Normal"/>
    <w:rsid w:val="009509E1"/>
    <w:pPr>
      <w:widowControl w:val="0"/>
    </w:pPr>
  </w:style>
  <w:style w:type="paragraph" w:customStyle="1" w:styleId="Legal3">
    <w:name w:val="Legal 3"/>
    <w:basedOn w:val="Normal"/>
    <w:rsid w:val="009509E1"/>
    <w:pPr>
      <w:widowControl w:val="0"/>
    </w:pPr>
  </w:style>
  <w:style w:type="paragraph" w:customStyle="1" w:styleId="Legal4">
    <w:name w:val="Legal 4"/>
    <w:basedOn w:val="Normal"/>
    <w:rsid w:val="009509E1"/>
    <w:pPr>
      <w:widowControl w:val="0"/>
    </w:pPr>
  </w:style>
  <w:style w:type="paragraph" w:customStyle="1" w:styleId="Legal5">
    <w:name w:val="Legal 5"/>
    <w:basedOn w:val="Normal"/>
    <w:rsid w:val="009509E1"/>
    <w:pPr>
      <w:widowControl w:val="0"/>
    </w:pPr>
  </w:style>
  <w:style w:type="paragraph" w:customStyle="1" w:styleId="Legal6">
    <w:name w:val="Legal 6"/>
    <w:basedOn w:val="Normal"/>
    <w:rsid w:val="009509E1"/>
    <w:pPr>
      <w:widowControl w:val="0"/>
    </w:pPr>
  </w:style>
  <w:style w:type="paragraph" w:customStyle="1" w:styleId="Legal7">
    <w:name w:val="Legal 7"/>
    <w:basedOn w:val="Normal"/>
    <w:rsid w:val="009509E1"/>
    <w:pPr>
      <w:widowControl w:val="0"/>
    </w:pPr>
  </w:style>
  <w:style w:type="paragraph" w:customStyle="1" w:styleId="Legal8">
    <w:name w:val="Legal 8"/>
    <w:basedOn w:val="Normal"/>
    <w:rsid w:val="009509E1"/>
    <w:pPr>
      <w:widowControl w:val="0"/>
    </w:pPr>
  </w:style>
  <w:style w:type="paragraph" w:customStyle="1" w:styleId="Legal9">
    <w:name w:val="Legal 9"/>
    <w:basedOn w:val="Normal"/>
    <w:rsid w:val="009509E1"/>
    <w:pPr>
      <w:widowControl w:val="0"/>
    </w:pPr>
  </w:style>
  <w:style w:type="paragraph" w:styleId="FootnoteText">
    <w:name w:val="footnote text"/>
    <w:basedOn w:val="Normal"/>
    <w:semiHidden/>
    <w:rsid w:val="009509E1"/>
    <w:pPr>
      <w:tabs>
        <w:tab w:val="left" w:pos="0"/>
        <w:tab w:val="left" w:pos="566"/>
        <w:tab w:val="left" w:pos="1134"/>
        <w:tab w:val="left" w:pos="1700"/>
        <w:tab w:val="left" w:pos="2267"/>
        <w:tab w:val="left" w:pos="2834"/>
        <w:tab w:val="left" w:pos="3401"/>
        <w:tab w:val="left" w:pos="3967"/>
        <w:tab w:val="left" w:pos="4535"/>
        <w:tab w:val="left" w:pos="5101"/>
        <w:tab w:val="left" w:pos="5668"/>
        <w:tab w:val="left" w:pos="6235"/>
        <w:tab w:val="left" w:pos="6802"/>
        <w:tab w:val="left" w:pos="7368"/>
        <w:tab w:val="left" w:pos="7936"/>
        <w:tab w:val="left" w:pos="8502"/>
        <w:tab w:val="left" w:pos="9068"/>
        <w:tab w:val="left" w:pos="9636"/>
        <w:tab w:val="left" w:pos="10202"/>
      </w:tabs>
      <w:jc w:val="both"/>
    </w:pPr>
  </w:style>
  <w:style w:type="character" w:styleId="FootnoteReference">
    <w:name w:val="footnote reference"/>
    <w:basedOn w:val="DefaultParagraphFont"/>
    <w:semiHidden/>
    <w:rsid w:val="009509E1"/>
    <w:rPr>
      <w:vertAlign w:val="superscript"/>
    </w:rPr>
  </w:style>
  <w:style w:type="character" w:styleId="EndnoteReference">
    <w:name w:val="endnote reference"/>
    <w:basedOn w:val="DefaultParagraphFont"/>
    <w:semiHidden/>
    <w:rsid w:val="009509E1"/>
  </w:style>
  <w:style w:type="paragraph" w:styleId="EndnoteText">
    <w:name w:val="endnote text"/>
    <w:basedOn w:val="Normal"/>
    <w:link w:val="EndnoteTextChar"/>
    <w:semiHidden/>
    <w:rsid w:val="009509E1"/>
    <w:pPr>
      <w:numPr>
        <w:numId w:val="2"/>
      </w:numPr>
      <w:jc w:val="both"/>
    </w:pPr>
    <w:rPr>
      <w:rFonts w:ascii="Garamond" w:hAnsi="Garamond"/>
      <w:sz w:val="20"/>
      <w:lang w:val="en-GB"/>
    </w:rPr>
  </w:style>
  <w:style w:type="character" w:customStyle="1" w:styleId="SYSHYPERTEXT">
    <w:name w:val="SYS_HYPERTEXT"/>
    <w:basedOn w:val="DefaultParagraphFont"/>
    <w:rsid w:val="009509E1"/>
    <w:rPr>
      <w:color w:val="0000FF"/>
      <w:u w:val="single"/>
    </w:rPr>
  </w:style>
  <w:style w:type="character" w:customStyle="1" w:styleId="EndnoteTextChar">
    <w:name w:val="Endnote Text Char"/>
    <w:basedOn w:val="DefaultParagraphFont"/>
    <w:link w:val="EndnoteText"/>
    <w:semiHidden/>
    <w:rsid w:val="00157720"/>
    <w:rPr>
      <w:rFonts w:ascii="Garamond" w:hAnsi="Garamond"/>
      <w:lang w:val="en-GB" w:eastAsia="en-US"/>
    </w:rPr>
  </w:style>
  <w:style w:type="paragraph" w:styleId="BalloonText">
    <w:name w:val="Balloon Text"/>
    <w:basedOn w:val="Normal"/>
    <w:link w:val="BalloonTextChar"/>
    <w:uiPriority w:val="99"/>
    <w:semiHidden/>
    <w:unhideWhenUsed/>
    <w:rsid w:val="00157720"/>
    <w:rPr>
      <w:rFonts w:ascii="Tahoma" w:hAnsi="Tahoma" w:cs="Tahoma"/>
      <w:sz w:val="16"/>
      <w:szCs w:val="16"/>
    </w:rPr>
  </w:style>
  <w:style w:type="character" w:customStyle="1" w:styleId="BalloonTextChar">
    <w:name w:val="Balloon Text Char"/>
    <w:basedOn w:val="DefaultParagraphFont"/>
    <w:link w:val="BalloonText"/>
    <w:uiPriority w:val="99"/>
    <w:semiHidden/>
    <w:rsid w:val="00157720"/>
    <w:rPr>
      <w:rFonts w:ascii="Tahoma" w:hAnsi="Tahoma" w:cs="Tahoma"/>
      <w:sz w:val="16"/>
      <w:szCs w:val="16"/>
      <w:lang w:val="en-US" w:eastAsia="en-US"/>
    </w:rPr>
  </w:style>
  <w:style w:type="character" w:styleId="CommentReference">
    <w:name w:val="annotation reference"/>
    <w:basedOn w:val="DefaultParagraphFont"/>
    <w:uiPriority w:val="99"/>
    <w:semiHidden/>
    <w:unhideWhenUsed/>
    <w:rsid w:val="00351528"/>
    <w:rPr>
      <w:sz w:val="16"/>
      <w:szCs w:val="16"/>
    </w:rPr>
  </w:style>
  <w:style w:type="paragraph" w:styleId="CommentText">
    <w:name w:val="annotation text"/>
    <w:basedOn w:val="Normal"/>
    <w:link w:val="CommentTextChar"/>
    <w:uiPriority w:val="99"/>
    <w:unhideWhenUsed/>
    <w:rsid w:val="00351528"/>
    <w:rPr>
      <w:sz w:val="20"/>
    </w:rPr>
  </w:style>
  <w:style w:type="character" w:customStyle="1" w:styleId="CommentTextChar">
    <w:name w:val="Comment Text Char"/>
    <w:basedOn w:val="DefaultParagraphFont"/>
    <w:link w:val="CommentText"/>
    <w:uiPriority w:val="99"/>
    <w:rsid w:val="00351528"/>
    <w:rPr>
      <w:lang w:val="en-US" w:eastAsia="en-US"/>
    </w:rPr>
  </w:style>
  <w:style w:type="paragraph" w:styleId="CommentSubject">
    <w:name w:val="annotation subject"/>
    <w:basedOn w:val="CommentText"/>
    <w:next w:val="CommentText"/>
    <w:link w:val="CommentSubjectChar"/>
    <w:uiPriority w:val="99"/>
    <w:semiHidden/>
    <w:unhideWhenUsed/>
    <w:rsid w:val="00351528"/>
    <w:rPr>
      <w:b/>
      <w:bCs/>
    </w:rPr>
  </w:style>
  <w:style w:type="character" w:customStyle="1" w:styleId="CommentSubjectChar">
    <w:name w:val="Comment Subject Char"/>
    <w:basedOn w:val="CommentTextChar"/>
    <w:link w:val="CommentSubject"/>
    <w:uiPriority w:val="99"/>
    <w:semiHidden/>
    <w:rsid w:val="00351528"/>
    <w:rPr>
      <w:b/>
      <w:bCs/>
      <w:lang w:val="en-US" w:eastAsia="en-US"/>
    </w:rPr>
  </w:style>
  <w:style w:type="paragraph" w:customStyle="1" w:styleId="EndNoteBibliographyTitle">
    <w:name w:val="EndNote Bibliography Title"/>
    <w:basedOn w:val="Normal"/>
    <w:rsid w:val="001D1CBD"/>
    <w:pPr>
      <w:jc w:val="center"/>
    </w:pPr>
  </w:style>
  <w:style w:type="paragraph" w:customStyle="1" w:styleId="EndNoteBibliography">
    <w:name w:val="EndNote Bibliography"/>
    <w:basedOn w:val="Normal"/>
    <w:rsid w:val="001D1CBD"/>
    <w:pPr>
      <w:jc w:val="both"/>
    </w:pPr>
  </w:style>
  <w:style w:type="paragraph" w:styleId="ListParagraph">
    <w:name w:val="List Paragraph"/>
    <w:basedOn w:val="Normal"/>
    <w:uiPriority w:val="34"/>
    <w:qFormat/>
    <w:rsid w:val="00E57B0F"/>
    <w:pPr>
      <w:ind w:left="720"/>
      <w:contextualSpacing/>
    </w:pPr>
  </w:style>
  <w:style w:type="paragraph" w:styleId="Caption">
    <w:name w:val="caption"/>
    <w:aliases w:val="TEKST"/>
    <w:basedOn w:val="Normal"/>
    <w:next w:val="Normal"/>
    <w:link w:val="CaptionChar"/>
    <w:unhideWhenUsed/>
    <w:qFormat/>
    <w:rsid w:val="00F7640D"/>
    <w:pPr>
      <w:spacing w:after="200"/>
      <w:jc w:val="center"/>
    </w:pPr>
    <w:rPr>
      <w:rFonts w:ascii="Arial" w:hAnsi="Arial" w:cs="Arial"/>
      <w:bCs/>
      <w:color w:val="000000"/>
      <w:sz w:val="20"/>
      <w:szCs w:val="28"/>
    </w:rPr>
  </w:style>
  <w:style w:type="paragraph" w:styleId="Header">
    <w:name w:val="header"/>
    <w:basedOn w:val="Normal"/>
    <w:link w:val="HeaderChar"/>
    <w:uiPriority w:val="99"/>
    <w:unhideWhenUsed/>
    <w:rsid w:val="00AB4736"/>
    <w:pPr>
      <w:tabs>
        <w:tab w:val="center" w:pos="4680"/>
        <w:tab w:val="right" w:pos="9360"/>
      </w:tabs>
    </w:pPr>
  </w:style>
  <w:style w:type="character" w:customStyle="1" w:styleId="HeaderChar">
    <w:name w:val="Header Char"/>
    <w:basedOn w:val="DefaultParagraphFont"/>
    <w:link w:val="Header"/>
    <w:uiPriority w:val="99"/>
    <w:rsid w:val="00AB4736"/>
    <w:rPr>
      <w:sz w:val="24"/>
      <w:lang w:val="en-US" w:eastAsia="en-US"/>
    </w:rPr>
  </w:style>
  <w:style w:type="paragraph" w:styleId="Footer">
    <w:name w:val="footer"/>
    <w:basedOn w:val="Normal"/>
    <w:link w:val="FooterChar"/>
    <w:uiPriority w:val="99"/>
    <w:unhideWhenUsed/>
    <w:rsid w:val="00AB4736"/>
    <w:pPr>
      <w:tabs>
        <w:tab w:val="center" w:pos="4680"/>
        <w:tab w:val="right" w:pos="9360"/>
      </w:tabs>
    </w:pPr>
  </w:style>
  <w:style w:type="character" w:customStyle="1" w:styleId="FooterChar">
    <w:name w:val="Footer Char"/>
    <w:basedOn w:val="DefaultParagraphFont"/>
    <w:link w:val="Footer"/>
    <w:uiPriority w:val="99"/>
    <w:rsid w:val="00AB4736"/>
    <w:rPr>
      <w:sz w:val="24"/>
      <w:lang w:val="en-US" w:eastAsia="en-US"/>
    </w:rPr>
  </w:style>
  <w:style w:type="character" w:styleId="PageNumber">
    <w:name w:val="page number"/>
    <w:basedOn w:val="DefaultParagraphFont"/>
    <w:uiPriority w:val="99"/>
    <w:semiHidden/>
    <w:unhideWhenUsed/>
    <w:rsid w:val="007351DA"/>
  </w:style>
  <w:style w:type="character" w:customStyle="1" w:styleId="Heading1Char">
    <w:name w:val="Heading 1 Char"/>
    <w:basedOn w:val="DefaultParagraphFont"/>
    <w:link w:val="Heading1"/>
    <w:uiPriority w:val="9"/>
    <w:rsid w:val="00F7640D"/>
    <w:rPr>
      <w:rFonts w:ascii="Arial" w:eastAsiaTheme="majorEastAsia" w:hAnsi="Arial" w:cstheme="majorBidi"/>
      <w:b/>
      <w:caps/>
      <w:color w:val="000000" w:themeColor="text1"/>
      <w:sz w:val="28"/>
      <w:szCs w:val="32"/>
      <w:lang w:val="en-GB" w:eastAsia="en-US"/>
    </w:rPr>
  </w:style>
  <w:style w:type="character" w:customStyle="1" w:styleId="Heading2Char">
    <w:name w:val="Heading 2 Char"/>
    <w:basedOn w:val="DefaultParagraphFont"/>
    <w:link w:val="Heading2"/>
    <w:uiPriority w:val="9"/>
    <w:rsid w:val="00F7640D"/>
    <w:rPr>
      <w:rFonts w:ascii="Arial" w:eastAsiaTheme="majorEastAsia" w:hAnsi="Arial" w:cstheme="majorBidi"/>
      <w:b/>
      <w:color w:val="000000" w:themeColor="text1"/>
      <w:sz w:val="24"/>
      <w:szCs w:val="26"/>
      <w:lang w:val="en-US" w:eastAsia="en-US"/>
    </w:rPr>
  </w:style>
  <w:style w:type="character" w:customStyle="1" w:styleId="Heading3Char">
    <w:name w:val="Heading 3 Char"/>
    <w:basedOn w:val="DefaultParagraphFont"/>
    <w:link w:val="Heading3"/>
    <w:uiPriority w:val="9"/>
    <w:rsid w:val="00F7640D"/>
    <w:rPr>
      <w:rFonts w:ascii="Arial" w:eastAsiaTheme="majorEastAsia" w:hAnsi="Arial" w:cstheme="majorBidi"/>
      <w:b/>
      <w:color w:val="000000" w:themeColor="text1"/>
      <w:sz w:val="24"/>
      <w:szCs w:val="24"/>
      <w:lang w:val="en-US" w:eastAsia="en-US"/>
    </w:rPr>
  </w:style>
  <w:style w:type="character" w:customStyle="1" w:styleId="Heading4Char">
    <w:name w:val="Heading 4 Char"/>
    <w:basedOn w:val="DefaultParagraphFont"/>
    <w:link w:val="Heading4"/>
    <w:uiPriority w:val="9"/>
    <w:rsid w:val="00F7640D"/>
    <w:rPr>
      <w:rFonts w:ascii="Arial" w:eastAsiaTheme="majorEastAsia" w:hAnsi="Arial" w:cstheme="majorBidi"/>
      <w:iCs/>
      <w:color w:val="000000" w:themeColor="text1"/>
      <w:sz w:val="24"/>
      <w:u w:val="single"/>
      <w:lang w:val="en-US" w:eastAsia="en-US"/>
    </w:rPr>
  </w:style>
  <w:style w:type="character" w:customStyle="1" w:styleId="Heading5Char">
    <w:name w:val="Heading 5 Char"/>
    <w:basedOn w:val="DefaultParagraphFont"/>
    <w:link w:val="Heading5"/>
    <w:uiPriority w:val="9"/>
    <w:rsid w:val="00F7640D"/>
    <w:rPr>
      <w:rFonts w:ascii="Arial" w:eastAsiaTheme="majorEastAsia" w:hAnsi="Arial" w:cstheme="majorBidi"/>
      <w:i/>
      <w:color w:val="000000" w:themeColor="text1"/>
      <w:sz w:val="24"/>
      <w:lang w:val="en-US" w:eastAsia="en-US"/>
    </w:rPr>
  </w:style>
  <w:style w:type="character" w:customStyle="1" w:styleId="CaptionChar">
    <w:name w:val="Caption Char"/>
    <w:aliases w:val="TEKST Char"/>
    <w:link w:val="Caption"/>
    <w:locked/>
    <w:rsid w:val="00754171"/>
    <w:rPr>
      <w:rFonts w:ascii="Arial" w:hAnsi="Arial" w:cs="Arial"/>
      <w:bCs/>
      <w:color w:val="000000"/>
      <w:szCs w:val="2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2531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6AD2C4-2379-C941-AFCD-5666BF3748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Pages>
  <Words>1327</Words>
  <Characters>7568</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NGU</Company>
  <LinksUpToDate>false</LinksUpToDate>
  <CharactersWithSpaces>8878</CharactersWithSpaces>
  <SharedDoc>false</SharedDoc>
  <HLinks>
    <vt:vector size="6" baseType="variant">
      <vt:variant>
        <vt:i4>7667727</vt:i4>
      </vt:variant>
      <vt:variant>
        <vt:i4>0</vt:i4>
      </vt:variant>
      <vt:variant>
        <vt:i4>0</vt:i4>
      </vt:variant>
      <vt:variant>
        <vt:i4>5</vt:i4>
      </vt:variant>
      <vt:variant>
        <vt:lpwstr>mailto:maarten.broekmans@ngu.no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furnas</dc:creator>
  <cp:lastModifiedBy>Marijana Serdar</cp:lastModifiedBy>
  <cp:revision>9</cp:revision>
  <cp:lastPrinted>2015-06-10T00:26:00Z</cp:lastPrinted>
  <dcterms:created xsi:type="dcterms:W3CDTF">2026-03-30T17:13:00Z</dcterms:created>
  <dcterms:modified xsi:type="dcterms:W3CDTF">2026-04-16T07:49:00Z</dcterms:modified>
</cp:coreProperties>
</file>