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08FBC" w14:textId="77777777" w:rsidR="006447FE" w:rsidRPr="00274101" w:rsidRDefault="006447FE" w:rsidP="006447FE">
      <w:pPr>
        <w:jc w:val="center"/>
        <w:rPr>
          <w:rFonts w:ascii="Arial" w:hAnsi="Arial" w:cs="Arial"/>
        </w:rPr>
      </w:pPr>
      <w:r w:rsidRPr="00274101">
        <w:rPr>
          <w:rFonts w:ascii="Arial" w:hAnsi="Arial" w:cs="Arial"/>
          <w:b/>
          <w:bCs/>
          <w:sz w:val="28"/>
          <w:szCs w:val="28"/>
        </w:rPr>
        <w:t>Sustainable Calcium Aluminate Cement Formulations: Partial Clinker Replacement with Activated Chemicals</w:t>
      </w:r>
    </w:p>
    <w:p w14:paraId="634714DC" w14:textId="77777777" w:rsidR="006447FE" w:rsidRPr="00274101" w:rsidRDefault="006447FE" w:rsidP="006447FE">
      <w:pPr>
        <w:jc w:val="center"/>
        <w:rPr>
          <w:rFonts w:ascii="Arial" w:hAnsi="Arial" w:cs="Arial"/>
        </w:rPr>
      </w:pPr>
      <w:r w:rsidRPr="00274101">
        <w:rPr>
          <w:rFonts w:ascii="Arial" w:hAnsi="Arial" w:cs="Arial"/>
        </w:rPr>
        <w:t>Polat, Buket</w:t>
      </w:r>
      <w:proofErr w:type="gramStart"/>
      <w:r w:rsidRPr="00274101">
        <w:rPr>
          <w:rFonts w:ascii="Arial" w:hAnsi="Arial" w:cs="Arial"/>
          <w:vertAlign w:val="superscript"/>
        </w:rPr>
        <w:t xml:space="preserve">1 </w:t>
      </w:r>
      <w:r w:rsidRPr="00274101">
        <w:rPr>
          <w:rFonts w:ascii="Arial" w:hAnsi="Arial" w:cs="Arial"/>
        </w:rPr>
        <w:t>,</w:t>
      </w:r>
      <w:proofErr w:type="gramEnd"/>
      <w:r w:rsidRPr="00274101">
        <w:rPr>
          <w:rFonts w:ascii="Arial" w:hAnsi="Arial" w:cs="Arial"/>
        </w:rPr>
        <w:t xml:space="preserve"> Wolf, Julian</w:t>
      </w:r>
      <w:r w:rsidRPr="00274101">
        <w:rPr>
          <w:rFonts w:ascii="Arial" w:hAnsi="Arial" w:cs="Arial"/>
          <w:vertAlign w:val="superscript"/>
        </w:rPr>
        <w:t xml:space="preserve">2, </w:t>
      </w:r>
      <w:r w:rsidRPr="00274101">
        <w:rPr>
          <w:rFonts w:ascii="Arial" w:hAnsi="Arial" w:cs="Arial"/>
        </w:rPr>
        <w:t>Avcioğlu, Berrak</w:t>
      </w:r>
      <w:r w:rsidRPr="00274101">
        <w:rPr>
          <w:rFonts w:ascii="Arial" w:hAnsi="Arial" w:cs="Arial"/>
          <w:vertAlign w:val="superscript"/>
        </w:rPr>
        <w:t xml:space="preserve">2 </w:t>
      </w:r>
    </w:p>
    <w:p w14:paraId="38F8159D" w14:textId="77777777" w:rsidR="006447FE" w:rsidRPr="00274101" w:rsidRDefault="006447FE" w:rsidP="006447FE">
      <w:pPr>
        <w:jc w:val="center"/>
        <w:rPr>
          <w:rFonts w:ascii="Arial" w:hAnsi="Arial" w:cs="Arial"/>
        </w:rPr>
      </w:pPr>
    </w:p>
    <w:p w14:paraId="2061EBC6" w14:textId="77777777" w:rsidR="006447FE" w:rsidRPr="00274101" w:rsidRDefault="006447FE" w:rsidP="006447FE">
      <w:pPr>
        <w:jc w:val="center"/>
        <w:rPr>
          <w:rFonts w:ascii="Arial" w:hAnsi="Arial" w:cs="Arial"/>
        </w:rPr>
      </w:pPr>
      <w:r w:rsidRPr="00274101">
        <w:rPr>
          <w:rFonts w:ascii="Arial" w:hAnsi="Arial" w:cs="Arial"/>
          <w:vertAlign w:val="superscript"/>
        </w:rPr>
        <w:t xml:space="preserve">1 </w:t>
      </w:r>
      <w:r w:rsidRPr="00274101">
        <w:rPr>
          <w:rFonts w:ascii="Arial" w:hAnsi="Arial" w:cs="Arial"/>
        </w:rPr>
        <w:t>ÇİMSA ÇİMENTO</w:t>
      </w:r>
    </w:p>
    <w:p w14:paraId="679EC632" w14:textId="77777777" w:rsidR="006447FE" w:rsidRPr="00274101" w:rsidRDefault="006447FE" w:rsidP="006447FE">
      <w:pPr>
        <w:jc w:val="center"/>
        <w:rPr>
          <w:rFonts w:ascii="Arial" w:hAnsi="Arial" w:cs="Arial"/>
        </w:rPr>
      </w:pPr>
      <w:r w:rsidRPr="00274101">
        <w:rPr>
          <w:rFonts w:ascii="Arial" w:hAnsi="Arial" w:cs="Arial"/>
        </w:rPr>
        <w:t>SANAYİ VE TİCARET A.Ş, TOROSLAR MAH. TEKKE CAD. YENİTAŞKENT – AKDENİZ, Mersin, 33013, TÜRKIYE</w:t>
      </w:r>
    </w:p>
    <w:p w14:paraId="51266001" w14:textId="77777777" w:rsidR="006447FE" w:rsidRPr="00274101" w:rsidRDefault="006447FE" w:rsidP="006447FE">
      <w:pPr>
        <w:jc w:val="center"/>
        <w:rPr>
          <w:rFonts w:ascii="Arial" w:hAnsi="Arial" w:cs="Arial"/>
        </w:rPr>
      </w:pPr>
      <w:r w:rsidRPr="00274101">
        <w:rPr>
          <w:rFonts w:ascii="Arial" w:hAnsi="Arial" w:cs="Arial"/>
          <w:vertAlign w:val="superscript"/>
        </w:rPr>
        <w:t>2</w:t>
      </w:r>
      <w:r w:rsidRPr="00274101">
        <w:rPr>
          <w:rFonts w:ascii="Arial" w:hAnsi="Arial" w:cs="Arial"/>
        </w:rPr>
        <w:t xml:space="preserve">Sabanci Technology Center GmbH, Freisinger </w:t>
      </w:r>
      <w:proofErr w:type="spellStart"/>
      <w:r w:rsidRPr="00274101">
        <w:rPr>
          <w:rFonts w:ascii="Arial" w:hAnsi="Arial" w:cs="Arial"/>
        </w:rPr>
        <w:t>Landstraße</w:t>
      </w:r>
      <w:proofErr w:type="spellEnd"/>
      <w:r w:rsidRPr="00274101">
        <w:rPr>
          <w:rFonts w:ascii="Arial" w:hAnsi="Arial" w:cs="Arial"/>
        </w:rPr>
        <w:t xml:space="preserve"> 50, </w:t>
      </w:r>
      <w:proofErr w:type="spellStart"/>
      <w:r w:rsidRPr="00274101">
        <w:rPr>
          <w:rFonts w:ascii="Arial" w:hAnsi="Arial" w:cs="Arial"/>
        </w:rPr>
        <w:t>Garching</w:t>
      </w:r>
      <w:proofErr w:type="spellEnd"/>
      <w:r w:rsidRPr="00274101">
        <w:rPr>
          <w:rFonts w:ascii="Arial" w:hAnsi="Arial" w:cs="Arial"/>
        </w:rPr>
        <w:t xml:space="preserve"> </w:t>
      </w:r>
      <w:proofErr w:type="spellStart"/>
      <w:r w:rsidRPr="00274101">
        <w:rPr>
          <w:rFonts w:ascii="Arial" w:hAnsi="Arial" w:cs="Arial"/>
        </w:rPr>
        <w:t>bei</w:t>
      </w:r>
      <w:proofErr w:type="spellEnd"/>
      <w:r w:rsidRPr="00274101">
        <w:rPr>
          <w:rFonts w:ascii="Arial" w:hAnsi="Arial" w:cs="Arial"/>
        </w:rPr>
        <w:t xml:space="preserve"> München, 85748, Germany</w:t>
      </w:r>
    </w:p>
    <w:p w14:paraId="483DD929" w14:textId="77777777" w:rsidR="006447FE" w:rsidRPr="00274101" w:rsidRDefault="006447FE" w:rsidP="006447FE">
      <w:pPr>
        <w:jc w:val="center"/>
        <w:rPr>
          <w:rFonts w:ascii="Arial" w:hAnsi="Arial" w:cs="Arial"/>
        </w:rPr>
      </w:pPr>
      <w:r w:rsidRPr="00274101">
        <w:rPr>
          <w:rFonts w:ascii="Arial" w:hAnsi="Arial" w:cs="Arial"/>
        </w:rPr>
        <w:t>b.polat@cimsa.com.tr</w:t>
      </w:r>
    </w:p>
    <w:p w14:paraId="07C0C8B9" w14:textId="77777777" w:rsidR="006447FE" w:rsidRPr="00274101" w:rsidRDefault="006447FE" w:rsidP="006447FE">
      <w:pPr>
        <w:rPr>
          <w:rFonts w:ascii="Arial" w:hAnsi="Arial" w:cs="Arial"/>
        </w:rPr>
      </w:pPr>
    </w:p>
    <w:p w14:paraId="3D721EE6" w14:textId="77777777" w:rsidR="006447FE" w:rsidRPr="00274101" w:rsidRDefault="006447FE" w:rsidP="006447FE">
      <w:pPr>
        <w:rPr>
          <w:rFonts w:asciiTheme="majorHAnsi" w:hAnsiTheme="majorHAnsi" w:cstheme="majorHAnsi"/>
        </w:rPr>
      </w:pPr>
    </w:p>
    <w:p w14:paraId="5E184421" w14:textId="77777777" w:rsidR="006447FE" w:rsidRPr="00274101" w:rsidRDefault="006447FE" w:rsidP="006447FE">
      <w:pPr>
        <w:rPr>
          <w:rFonts w:ascii="Arial" w:hAnsi="Arial" w:cs="Arial"/>
        </w:rPr>
      </w:pPr>
      <w:r w:rsidRPr="00274101">
        <w:rPr>
          <w:rFonts w:ascii="Arial" w:hAnsi="Arial" w:cs="Arial"/>
        </w:rPr>
        <w:t xml:space="preserve">Reducing the clinker content in calcium aluminate cement (CAC) is crucial for improving environmental sustainability. This study investigates the partial replacement of CAC clinker with activated pumice to optimize setting time and mechanical strength. Experiments were conducted by gradually decreasing the clinker content and replacing it with varying proportions of activated pumice. The hydration kinetics, setting </w:t>
      </w:r>
      <w:proofErr w:type="spellStart"/>
      <w:r w:rsidRPr="00274101">
        <w:rPr>
          <w:rFonts w:ascii="Arial" w:hAnsi="Arial" w:cs="Arial"/>
        </w:rPr>
        <w:t>behavior</w:t>
      </w:r>
      <w:proofErr w:type="spellEnd"/>
      <w:r w:rsidRPr="00274101">
        <w:rPr>
          <w:rFonts w:ascii="Arial" w:hAnsi="Arial" w:cs="Arial"/>
        </w:rPr>
        <w:t xml:space="preserve">, compressive strength, and microstructural evolution were </w:t>
      </w:r>
      <w:proofErr w:type="spellStart"/>
      <w:r w:rsidRPr="00274101">
        <w:rPr>
          <w:rFonts w:ascii="Arial" w:hAnsi="Arial" w:cs="Arial"/>
        </w:rPr>
        <w:t>analyzed</w:t>
      </w:r>
      <w:proofErr w:type="spellEnd"/>
      <w:r w:rsidRPr="00274101">
        <w:rPr>
          <w:rFonts w:ascii="Arial" w:hAnsi="Arial" w:cs="Arial"/>
        </w:rPr>
        <w:t>.</w:t>
      </w:r>
    </w:p>
    <w:p w14:paraId="63FA9960" w14:textId="77777777" w:rsidR="006447FE" w:rsidRPr="00274101" w:rsidRDefault="006447FE" w:rsidP="006447FE">
      <w:pPr>
        <w:rPr>
          <w:rFonts w:ascii="Arial" w:hAnsi="Arial" w:cs="Arial"/>
        </w:rPr>
      </w:pPr>
    </w:p>
    <w:p w14:paraId="1FDAED97" w14:textId="1F0FAB02" w:rsidR="006447FE" w:rsidRPr="00274101" w:rsidRDefault="006447FE" w:rsidP="006447FE">
      <w:pPr>
        <w:rPr>
          <w:rFonts w:ascii="Arial" w:hAnsi="Arial" w:cs="Arial"/>
        </w:rPr>
      </w:pPr>
      <w:r w:rsidRPr="00274101">
        <w:rPr>
          <w:rFonts w:ascii="Arial" w:hAnsi="Arial" w:cs="Arial"/>
        </w:rPr>
        <w:t>Results show that, despite a significant reduction in clinker content, early and long-term strength values were maintained when using properly activated pumice. Additionally, the setting time was found to depend on the surface activity and chemical composition of the pumice.</w:t>
      </w:r>
    </w:p>
    <w:p w14:paraId="2CD97B0B" w14:textId="77777777" w:rsidR="006447FE" w:rsidRPr="00274101" w:rsidRDefault="006447FE" w:rsidP="006447FE">
      <w:pPr>
        <w:rPr>
          <w:rFonts w:ascii="Arial" w:hAnsi="Arial" w:cs="Arial"/>
        </w:rPr>
      </w:pPr>
    </w:p>
    <w:p w14:paraId="37434332" w14:textId="062A9ABC" w:rsidR="002709B6" w:rsidRPr="00274101" w:rsidRDefault="006447FE"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rPr>
          <w:rFonts w:ascii="Arial" w:hAnsi="Arial" w:cs="Arial"/>
          <w:sz w:val="28"/>
          <w:szCs w:val="28"/>
        </w:rPr>
      </w:pPr>
      <w:r w:rsidRPr="00274101">
        <w:rPr>
          <w:rFonts w:ascii="Arial" w:hAnsi="Arial" w:cs="Arial"/>
        </w:rPr>
        <w:t xml:space="preserve">This study demonstrates that clinker substitution in CAC-based systems is feasible, and mechanical performance can be preserved using activated pumice as a supplementary material. The findings provide a foundation for developing low-carbon cement formulations. Future research should explore the effects of different activators and curing </w:t>
      </w:r>
      <w:r w:rsidR="008B6837" w:rsidRPr="00274101">
        <w:rPr>
          <w:rFonts w:ascii="Arial" w:hAnsi="Arial" w:cs="Arial"/>
        </w:rPr>
        <w:t>conditions.</w:t>
      </w:r>
      <w:r w:rsidR="004524DC" w:rsidRPr="004524DC">
        <w:rPr>
          <w:rFonts w:ascii="Arial" w:hAnsi="Arial" w:cs="Arial"/>
          <w:szCs w:val="24"/>
          <w:vertAlign w:val="superscript"/>
        </w:rPr>
        <w:t>1</w:t>
      </w:r>
    </w:p>
    <w:p w14:paraId="003BAFDC" w14:textId="77777777" w:rsidR="007351DA" w:rsidRPr="00274101" w:rsidRDefault="007351DA" w:rsidP="00730E9B">
      <w:pPr>
        <w:pStyle w:val="Legal1"/>
        <w:widowControl/>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szCs w:val="24"/>
        </w:rPr>
      </w:pPr>
    </w:p>
    <w:p w14:paraId="42FA6F9C" w14:textId="77777777" w:rsidR="007F639E" w:rsidRPr="00274101" w:rsidRDefault="00C379C2" w:rsidP="00F7640D">
      <w:pPr>
        <w:pStyle w:val="Balk2"/>
      </w:pPr>
      <w:r w:rsidRPr="00274101">
        <w:t>INTRODUCTION</w:t>
      </w:r>
      <w:r w:rsidR="00F7640D" w:rsidRPr="00274101">
        <w:t xml:space="preserve"> | BACKGROUND </w:t>
      </w:r>
    </w:p>
    <w:p w14:paraId="23994AD7" w14:textId="77777777" w:rsidR="007F639E" w:rsidRPr="00274101" w:rsidRDefault="007F639E" w:rsidP="00F7640D">
      <w:pPr>
        <w:pStyle w:val="Balk2"/>
      </w:pPr>
    </w:p>
    <w:p w14:paraId="75EA60F4" w14:textId="5CE63275" w:rsidR="0066570D" w:rsidRDefault="00E20768" w:rsidP="0066570D">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lang w:val="tr-TR"/>
        </w:rPr>
      </w:pPr>
      <w:r>
        <w:rPr>
          <w:rFonts w:ascii="Arial" w:hAnsi="Arial" w:cs="Arial"/>
          <w:color w:val="000000" w:themeColor="text1"/>
          <w:szCs w:val="24"/>
          <w:lang w:val="tr-TR"/>
        </w:rPr>
        <w:t xml:space="preserve"> </w:t>
      </w:r>
      <w:proofErr w:type="spellStart"/>
      <w:r w:rsidR="0066570D">
        <w:rPr>
          <w:rFonts w:ascii="Arial" w:hAnsi="Arial" w:cs="Arial"/>
          <w:color w:val="000000" w:themeColor="text1"/>
          <w:szCs w:val="24"/>
          <w:lang w:val="tr-TR"/>
        </w:rPr>
        <w:t>T</w:t>
      </w:r>
      <w:r w:rsidR="0066570D" w:rsidRPr="0066570D">
        <w:rPr>
          <w:rFonts w:ascii="Arial" w:hAnsi="Arial" w:cs="Arial"/>
          <w:color w:val="000000" w:themeColor="text1"/>
          <w:szCs w:val="24"/>
          <w:lang w:val="tr-TR"/>
        </w:rPr>
        <w:t>he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cement</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industry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significantly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contributes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to</w:t>
      </w:r>
      <w:proofErr w:type="spellEnd"/>
      <w:r w:rsidR="0066570D" w:rsidRPr="0066570D">
        <w:rPr>
          <w:rFonts w:ascii="Arial" w:hAnsi="Arial" w:cs="Arial"/>
          <w:color w:val="000000" w:themeColor="text1"/>
          <w:szCs w:val="24"/>
          <w:lang w:val="tr-TR"/>
        </w:rPr>
        <w:t xml:space="preserve"> global CO</w:t>
      </w:r>
      <w:r w:rsidR="0066570D" w:rsidRPr="0066570D">
        <w:rPr>
          <w:rFonts w:ascii="Cambria Math" w:hAnsi="Cambria Math" w:cs="Cambria Math"/>
          <w:color w:val="000000" w:themeColor="text1"/>
          <w:szCs w:val="24"/>
          <w:lang w:val="tr-TR"/>
        </w:rPr>
        <w:t>₂</w:t>
      </w:r>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emissions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due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to</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energy-intensive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clinker</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production</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While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sustainability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efforts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have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primarily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focused</w:t>
      </w:r>
      <w:proofErr w:type="spellEnd"/>
      <w:r w:rsidR="0066570D" w:rsidRPr="0066570D">
        <w:rPr>
          <w:rFonts w:ascii="Arial" w:hAnsi="Arial" w:cs="Arial"/>
          <w:color w:val="000000" w:themeColor="text1"/>
          <w:szCs w:val="24"/>
          <w:lang w:val="tr-TR"/>
        </w:rPr>
        <w:t xml:space="preserve"> on Portland </w:t>
      </w:r>
      <w:proofErr w:type="spellStart"/>
      <w:r w:rsidR="0066570D" w:rsidRPr="0066570D">
        <w:rPr>
          <w:rFonts w:ascii="Arial" w:hAnsi="Arial" w:cs="Arial"/>
          <w:color w:val="000000" w:themeColor="text1"/>
          <w:szCs w:val="24"/>
          <w:lang w:val="tr-TR"/>
        </w:rPr>
        <w:t>cement</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strategies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for</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reducing</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the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environmental</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impact</w:t>
      </w:r>
      <w:proofErr w:type="spellEnd"/>
      <w:r w:rsidR="0066570D" w:rsidRPr="0066570D">
        <w:rPr>
          <w:rFonts w:ascii="Arial" w:hAnsi="Arial" w:cs="Arial"/>
          <w:color w:val="000000" w:themeColor="text1"/>
          <w:szCs w:val="24"/>
          <w:lang w:val="tr-TR"/>
        </w:rPr>
        <w:t xml:space="preserve"> of </w:t>
      </w:r>
      <w:proofErr w:type="spellStart"/>
      <w:r w:rsidR="0066570D" w:rsidRPr="0066570D">
        <w:rPr>
          <w:rFonts w:ascii="Arial" w:hAnsi="Arial" w:cs="Arial"/>
          <w:color w:val="000000" w:themeColor="text1"/>
          <w:szCs w:val="24"/>
          <w:lang w:val="tr-TR"/>
        </w:rPr>
        <w:t>calcium</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aluminate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cement</w:t>
      </w:r>
      <w:proofErr w:type="spellEnd"/>
      <w:r w:rsidR="0066570D" w:rsidRPr="0066570D">
        <w:rPr>
          <w:rFonts w:ascii="Arial" w:hAnsi="Arial" w:cs="Arial"/>
          <w:color w:val="000000" w:themeColor="text1"/>
          <w:szCs w:val="24"/>
          <w:lang w:val="tr-TR"/>
        </w:rPr>
        <w:t xml:space="preserve"> (CAC) </w:t>
      </w:r>
      <w:proofErr w:type="spellStart"/>
      <w:r w:rsidR="0066570D" w:rsidRPr="0066570D">
        <w:rPr>
          <w:rFonts w:ascii="Arial" w:hAnsi="Arial" w:cs="Arial"/>
          <w:color w:val="000000" w:themeColor="text1"/>
          <w:szCs w:val="24"/>
          <w:lang w:val="tr-TR"/>
        </w:rPr>
        <w:t>remain</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limited</w:t>
      </w:r>
      <w:proofErr w:type="spellEnd"/>
      <w:r w:rsidR="0066570D" w:rsidRPr="0066570D">
        <w:rPr>
          <w:rFonts w:ascii="Arial" w:hAnsi="Arial" w:cs="Arial"/>
          <w:color w:val="000000" w:themeColor="text1"/>
          <w:szCs w:val="24"/>
          <w:lang w:val="tr-TR"/>
        </w:rPr>
        <w:t xml:space="preserve">. CAC is </w:t>
      </w:r>
      <w:proofErr w:type="spellStart"/>
      <w:r w:rsidR="0066570D" w:rsidRPr="0066570D">
        <w:rPr>
          <w:rFonts w:ascii="Arial" w:hAnsi="Arial" w:cs="Arial"/>
          <w:color w:val="000000" w:themeColor="text1"/>
          <w:szCs w:val="24"/>
          <w:lang w:val="tr-TR"/>
        </w:rPr>
        <w:t>widely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used</w:t>
      </w:r>
      <w:proofErr w:type="spellEnd"/>
      <w:r w:rsidR="0066570D" w:rsidRPr="0066570D">
        <w:rPr>
          <w:rFonts w:ascii="Arial" w:hAnsi="Arial" w:cs="Arial"/>
          <w:color w:val="000000" w:themeColor="text1"/>
          <w:szCs w:val="24"/>
          <w:lang w:val="tr-TR"/>
        </w:rPr>
        <w:t xml:space="preserve"> in </w:t>
      </w:r>
      <w:proofErr w:type="spellStart"/>
      <w:r w:rsidR="0066570D" w:rsidRPr="0066570D">
        <w:rPr>
          <w:rFonts w:ascii="Arial" w:hAnsi="Arial" w:cs="Arial"/>
          <w:color w:val="000000" w:themeColor="text1"/>
          <w:szCs w:val="24"/>
          <w:lang w:val="tr-TR"/>
        </w:rPr>
        <w:t>refractory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applications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rapid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repair</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systems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and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chemically</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resistant</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environments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because</w:t>
      </w:r>
      <w:proofErr w:type="spellEnd"/>
      <w:r w:rsidR="0066570D" w:rsidRPr="0066570D">
        <w:rPr>
          <w:rFonts w:ascii="Arial" w:hAnsi="Arial" w:cs="Arial"/>
          <w:color w:val="000000" w:themeColor="text1"/>
          <w:szCs w:val="24"/>
          <w:lang w:val="tr-TR"/>
        </w:rPr>
        <w:t xml:space="preserve"> of </w:t>
      </w:r>
      <w:proofErr w:type="spellStart"/>
      <w:r w:rsidR="0066570D" w:rsidRPr="0066570D">
        <w:rPr>
          <w:rFonts w:ascii="Arial" w:hAnsi="Arial" w:cs="Arial"/>
          <w:color w:val="000000" w:themeColor="text1"/>
          <w:szCs w:val="24"/>
          <w:lang w:val="tr-TR"/>
        </w:rPr>
        <w:t>its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rapid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strength</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development</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and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high-temperature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performance</w:t>
      </w:r>
      <w:proofErr w:type="spellEnd"/>
      <w:r w:rsidR="0066570D" w:rsidRPr="0066570D">
        <w:rPr>
          <w:rFonts w:ascii="Arial" w:hAnsi="Arial" w:cs="Arial"/>
          <w:color w:val="000000" w:themeColor="text1"/>
          <w:szCs w:val="24"/>
          <w:lang w:val="tr-TR"/>
        </w:rPr>
        <w:t>.</w:t>
      </w:r>
      <w:r w:rsidR="004524DC" w:rsidRPr="004524DC">
        <w:rPr>
          <w:rFonts w:ascii="Arial" w:hAnsi="Arial" w:cs="Arial"/>
          <w:szCs w:val="24"/>
          <w:vertAlign w:val="superscript"/>
        </w:rPr>
        <w:t>1</w:t>
      </w:r>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However</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its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clinker</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production</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requires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alumina-rich</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raw</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materials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and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elevated</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burning</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temperatures</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resulting</w:t>
      </w:r>
      <w:proofErr w:type="spellEnd"/>
      <w:r w:rsidR="0066570D" w:rsidRPr="0066570D">
        <w:rPr>
          <w:rFonts w:ascii="Arial" w:hAnsi="Arial" w:cs="Arial"/>
          <w:color w:val="000000" w:themeColor="text1"/>
          <w:szCs w:val="24"/>
          <w:lang w:val="tr-TR"/>
        </w:rPr>
        <w:t xml:space="preserve"> in </w:t>
      </w:r>
      <w:proofErr w:type="spellStart"/>
      <w:r w:rsidR="0066570D" w:rsidRPr="0066570D">
        <w:rPr>
          <w:rFonts w:ascii="Arial" w:hAnsi="Arial" w:cs="Arial"/>
          <w:color w:val="000000" w:themeColor="text1"/>
          <w:szCs w:val="24"/>
          <w:lang w:val="tr-TR"/>
        </w:rPr>
        <w:t>considerable</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environmental</w:t>
      </w:r>
      <w:proofErr w:type="spellEnd"/>
      <w:r w:rsidR="0066570D" w:rsidRPr="0066570D">
        <w:rPr>
          <w:rFonts w:ascii="Arial" w:hAnsi="Arial" w:cs="Arial"/>
          <w:color w:val="000000" w:themeColor="text1"/>
          <w:szCs w:val="24"/>
          <w:lang w:val="tr-TR"/>
        </w:rPr>
        <w:t xml:space="preserve"> </w:t>
      </w:r>
      <w:proofErr w:type="spellStart"/>
      <w:r w:rsidR="0066570D" w:rsidRPr="0066570D">
        <w:rPr>
          <w:rFonts w:ascii="Arial" w:hAnsi="Arial" w:cs="Arial"/>
          <w:color w:val="000000" w:themeColor="text1"/>
          <w:szCs w:val="24"/>
          <w:lang w:val="tr-TR"/>
        </w:rPr>
        <w:t>impact</w:t>
      </w:r>
      <w:proofErr w:type="spellEnd"/>
      <w:r w:rsidR="0066570D" w:rsidRPr="0066570D">
        <w:rPr>
          <w:rFonts w:ascii="Arial" w:hAnsi="Arial" w:cs="Arial"/>
          <w:color w:val="000000" w:themeColor="text1"/>
          <w:szCs w:val="24"/>
          <w:lang w:val="tr-TR"/>
        </w:rPr>
        <w:t>.</w:t>
      </w:r>
    </w:p>
    <w:p w14:paraId="39CB5EFD" w14:textId="77777777" w:rsidR="0066570D" w:rsidRPr="0066570D" w:rsidRDefault="0066570D" w:rsidP="0066570D">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lang w:val="tr-TR"/>
        </w:rPr>
      </w:pPr>
    </w:p>
    <w:p w14:paraId="3B965738" w14:textId="050A56F7" w:rsidR="0066570D" w:rsidRPr="0066570D" w:rsidRDefault="0066570D" w:rsidP="0066570D">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lang w:val="tr-TR"/>
        </w:rPr>
      </w:pPr>
      <w:r w:rsidRPr="0066570D">
        <w:rPr>
          <w:rFonts w:ascii="Arial" w:hAnsi="Arial" w:cs="Arial"/>
          <w:color w:val="000000" w:themeColor="text1"/>
          <w:szCs w:val="24"/>
          <w:lang w:val="tr-TR"/>
        </w:rPr>
        <w:lastRenderedPageBreak/>
        <w:t xml:space="preserve">Natural </w:t>
      </w:r>
      <w:proofErr w:type="spellStart"/>
      <w:r w:rsidRPr="0066570D">
        <w:rPr>
          <w:rFonts w:ascii="Arial" w:hAnsi="Arial" w:cs="Arial"/>
          <w:color w:val="000000" w:themeColor="text1"/>
          <w:szCs w:val="24"/>
          <w:lang w:val="tr-TR"/>
        </w:rPr>
        <w:t>pumice</w:t>
      </w:r>
      <w:proofErr w:type="spellEnd"/>
      <w:r w:rsidRPr="0066570D">
        <w:rPr>
          <w:rFonts w:ascii="Arial" w:hAnsi="Arial" w:cs="Arial"/>
          <w:color w:val="000000" w:themeColor="text1"/>
          <w:szCs w:val="24"/>
          <w:lang w:val="tr-TR"/>
        </w:rPr>
        <w:t xml:space="preserve"> (tras) </w:t>
      </w:r>
      <w:proofErr w:type="spellStart"/>
      <w:r w:rsidRPr="0066570D">
        <w:rPr>
          <w:rFonts w:ascii="Arial" w:hAnsi="Arial" w:cs="Arial"/>
          <w:color w:val="000000" w:themeColor="text1"/>
          <w:szCs w:val="24"/>
          <w:lang w:val="tr-TR"/>
        </w:rPr>
        <w:t>represents</w:t>
      </w:r>
      <w:proofErr w:type="spellEnd"/>
      <w:r w:rsidRPr="0066570D">
        <w:rPr>
          <w:rFonts w:ascii="Arial" w:hAnsi="Arial" w:cs="Arial"/>
          <w:color w:val="000000" w:themeColor="text1"/>
          <w:szCs w:val="24"/>
          <w:lang w:val="tr-TR"/>
        </w:rPr>
        <w:t xml:space="preserve"> a </w:t>
      </w:r>
      <w:proofErr w:type="spellStart"/>
      <w:r w:rsidRPr="0066570D">
        <w:rPr>
          <w:rFonts w:ascii="Arial" w:hAnsi="Arial" w:cs="Arial"/>
          <w:color w:val="000000" w:themeColor="text1"/>
          <w:szCs w:val="24"/>
          <w:lang w:val="tr-TR"/>
        </w:rPr>
        <w:t>promising</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supplementary</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material</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due</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to</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its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high</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silica</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content</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and</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porous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structure</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although</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its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reactivity</w:t>
      </w:r>
      <w:proofErr w:type="spellEnd"/>
      <w:r w:rsidRPr="0066570D">
        <w:rPr>
          <w:rFonts w:ascii="Arial" w:hAnsi="Arial" w:cs="Arial"/>
          <w:color w:val="000000" w:themeColor="text1"/>
          <w:szCs w:val="24"/>
          <w:lang w:val="tr-TR"/>
        </w:rPr>
        <w:t xml:space="preserve"> is </w:t>
      </w:r>
      <w:proofErr w:type="spellStart"/>
      <w:r w:rsidRPr="0066570D">
        <w:rPr>
          <w:rFonts w:ascii="Arial" w:hAnsi="Arial" w:cs="Arial"/>
          <w:color w:val="000000" w:themeColor="text1"/>
          <w:szCs w:val="24"/>
          <w:lang w:val="tr-TR"/>
        </w:rPr>
        <w:t>generally</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limited</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without</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activation</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Mechanical</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activation</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through</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fine</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grinding</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enhances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surface</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area</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and</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exposes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reactive</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silica</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phases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increasing</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its</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potential</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contribution</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to</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hydration</w:t>
      </w:r>
      <w:proofErr w:type="spellEnd"/>
      <w:r w:rsidRPr="0066570D">
        <w:rPr>
          <w:rFonts w:ascii="Arial" w:hAnsi="Arial" w:cs="Arial"/>
          <w:color w:val="000000" w:themeColor="text1"/>
          <w:szCs w:val="24"/>
          <w:lang w:val="tr-TR"/>
        </w:rPr>
        <w:t xml:space="preserve"> </w:t>
      </w:r>
      <w:proofErr w:type="spellStart"/>
      <w:r w:rsidRPr="0066570D">
        <w:rPr>
          <w:rFonts w:ascii="Arial" w:hAnsi="Arial" w:cs="Arial"/>
          <w:color w:val="000000" w:themeColor="text1"/>
          <w:szCs w:val="24"/>
          <w:lang w:val="tr-TR"/>
        </w:rPr>
        <w:t>reactions</w:t>
      </w:r>
      <w:proofErr w:type="spellEnd"/>
      <w:r w:rsidRPr="0066570D">
        <w:rPr>
          <w:rFonts w:ascii="Arial" w:hAnsi="Arial" w:cs="Arial"/>
          <w:color w:val="000000" w:themeColor="text1"/>
          <w:szCs w:val="24"/>
          <w:lang w:val="tr-TR"/>
        </w:rPr>
        <w:t>.</w:t>
      </w:r>
      <w:r w:rsidR="004524DC">
        <w:rPr>
          <w:rFonts w:ascii="Arial" w:hAnsi="Arial" w:cs="Arial"/>
          <w:szCs w:val="24"/>
          <w:vertAlign w:val="superscript"/>
        </w:rPr>
        <w:t>2</w:t>
      </w:r>
    </w:p>
    <w:p w14:paraId="1F29D76A" w14:textId="77777777" w:rsidR="008B6837" w:rsidRPr="00274101" w:rsidRDefault="008B6837"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77D17F02" w14:textId="28150C1D" w:rsidR="008B6837" w:rsidRPr="00274101" w:rsidRDefault="008B6837"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r w:rsidRPr="00274101">
        <w:rPr>
          <w:rFonts w:ascii="Arial" w:hAnsi="Arial" w:cs="Arial"/>
          <w:b/>
          <w:bCs/>
          <w:color w:val="000000" w:themeColor="text1"/>
          <w:szCs w:val="24"/>
        </w:rPr>
        <w:t>Methods</w:t>
      </w:r>
    </w:p>
    <w:p w14:paraId="709C7369" w14:textId="77777777" w:rsidR="008B6837" w:rsidRPr="00274101" w:rsidRDefault="008B6837"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70CE0379" w14:textId="46FBDF63" w:rsidR="008B6837" w:rsidRDefault="00AB0520"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AB0520">
        <w:rPr>
          <w:rFonts w:ascii="Arial" w:hAnsi="Arial" w:cs="Arial"/>
          <w:color w:val="000000" w:themeColor="text1"/>
          <w:szCs w:val="24"/>
        </w:rPr>
        <w:t>Commercial CAC and mechanically activated pumice were used. Chemical compositions were determined by XRF (Table 1). The Blaine fineness of CAC was 3350 cm²/g, while activated pumice reached 9070 cm²/g after 20 minutes of ball milling. Mortars (4×4×16 cm) were prepared with 5% and 10% clinker replacement at constant water content (28%) and cured at 20°C and 96% RH.</w:t>
      </w:r>
    </w:p>
    <w:p w14:paraId="79D2BF4E" w14:textId="77777777" w:rsidR="00AB0520" w:rsidRPr="00274101" w:rsidRDefault="00AB0520"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360E32B2" w14:textId="0D46D255" w:rsidR="00B13105" w:rsidRPr="00274101" w:rsidRDefault="00302C3E" w:rsidP="00302C3E">
      <w:pPr>
        <w:pStyle w:val="ResimYazs"/>
      </w:pPr>
      <w:r w:rsidRPr="00274101">
        <w:t>Tabl</w:t>
      </w:r>
      <w:r w:rsidR="00DF4302" w:rsidRPr="00274101">
        <w:t>e</w:t>
      </w:r>
      <w:r w:rsidRPr="00274101">
        <w:t xml:space="preserve"> </w:t>
      </w:r>
      <w:r w:rsidRPr="00274101">
        <w:fldChar w:fldCharType="begin"/>
      </w:r>
      <w:r w:rsidRPr="00274101">
        <w:instrText xml:space="preserve"> SEQ Tablo \* ARABIC </w:instrText>
      </w:r>
      <w:r w:rsidRPr="00274101">
        <w:fldChar w:fldCharType="separate"/>
      </w:r>
      <w:r w:rsidR="002C3E65">
        <w:rPr>
          <w:noProof/>
        </w:rPr>
        <w:t>1</w:t>
      </w:r>
      <w:r w:rsidRPr="00274101">
        <w:fldChar w:fldCharType="end"/>
      </w:r>
      <w:r w:rsidRPr="00274101">
        <w:t>.</w:t>
      </w:r>
      <w:r w:rsidR="00AE7D09" w:rsidRPr="00AE7D09">
        <w:t>Chemical composition of CAC and activated pumice (% by mass)</w:t>
      </w:r>
    </w:p>
    <w:tbl>
      <w:tblPr>
        <w:tblStyle w:val="TabloKlavuzu"/>
        <w:tblW w:w="0" w:type="auto"/>
        <w:tblLook w:val="04A0" w:firstRow="1" w:lastRow="0" w:firstColumn="1" w:lastColumn="0" w:noHBand="0" w:noVBand="1"/>
      </w:tblPr>
      <w:tblGrid>
        <w:gridCol w:w="2640"/>
        <w:gridCol w:w="2640"/>
        <w:gridCol w:w="2641"/>
      </w:tblGrid>
      <w:tr w:rsidR="00B13105" w:rsidRPr="00274101" w14:paraId="709295CA" w14:textId="77777777" w:rsidTr="00B13105">
        <w:tc>
          <w:tcPr>
            <w:tcW w:w="2640" w:type="dxa"/>
          </w:tcPr>
          <w:p w14:paraId="2EC0D6A7" w14:textId="27381912"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Oxides</w:t>
            </w:r>
          </w:p>
        </w:tc>
        <w:tc>
          <w:tcPr>
            <w:tcW w:w="2640" w:type="dxa"/>
          </w:tcPr>
          <w:p w14:paraId="36F78542" w14:textId="0DF335CE"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CAC 40</w:t>
            </w:r>
          </w:p>
        </w:tc>
        <w:tc>
          <w:tcPr>
            <w:tcW w:w="2641" w:type="dxa"/>
          </w:tcPr>
          <w:p w14:paraId="50BFFE7B" w14:textId="729BE3DF"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Activated Pumice</w:t>
            </w:r>
          </w:p>
        </w:tc>
      </w:tr>
      <w:tr w:rsidR="00B13105" w:rsidRPr="00274101" w14:paraId="144A98C8" w14:textId="77777777" w:rsidTr="00B13105">
        <w:tc>
          <w:tcPr>
            <w:tcW w:w="2640" w:type="dxa"/>
          </w:tcPr>
          <w:p w14:paraId="42894FCF" w14:textId="2C594CC1"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proofErr w:type="spellStart"/>
            <w:r w:rsidRPr="00274101">
              <w:rPr>
                <w:rFonts w:ascii="Arial" w:hAnsi="Arial" w:cs="Arial"/>
                <w:color w:val="000000" w:themeColor="text1"/>
                <w:szCs w:val="24"/>
              </w:rPr>
              <w:t>Al</w:t>
            </w:r>
            <w:r w:rsidRPr="00274101">
              <w:rPr>
                <w:rFonts w:ascii="Cambria Math" w:hAnsi="Cambria Math" w:cs="Cambria Math"/>
                <w:color w:val="000000" w:themeColor="text1"/>
                <w:szCs w:val="24"/>
              </w:rPr>
              <w:t>₂</w:t>
            </w:r>
            <w:r w:rsidRPr="00274101">
              <w:rPr>
                <w:rFonts w:ascii="Arial" w:hAnsi="Arial" w:cs="Arial"/>
                <w:color w:val="000000" w:themeColor="text1"/>
                <w:szCs w:val="24"/>
              </w:rPr>
              <w:t>O</w:t>
            </w:r>
            <w:proofErr w:type="spellEnd"/>
            <w:r w:rsidRPr="00274101">
              <w:rPr>
                <w:rFonts w:ascii="Cambria Math" w:hAnsi="Cambria Math" w:cs="Cambria Math"/>
                <w:color w:val="000000" w:themeColor="text1"/>
                <w:szCs w:val="24"/>
              </w:rPr>
              <w:t>₃</w:t>
            </w:r>
          </w:p>
        </w:tc>
        <w:tc>
          <w:tcPr>
            <w:tcW w:w="2640" w:type="dxa"/>
          </w:tcPr>
          <w:p w14:paraId="28C7818E" w14:textId="4AAD6C7E"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40</w:t>
            </w:r>
            <w:r w:rsidR="00720E32">
              <w:rPr>
                <w:rFonts w:ascii="Arial" w:hAnsi="Arial" w:cs="Arial"/>
                <w:color w:val="000000" w:themeColor="text1"/>
                <w:szCs w:val="24"/>
              </w:rPr>
              <w:t>.</w:t>
            </w:r>
            <w:r w:rsidRPr="00274101">
              <w:rPr>
                <w:rFonts w:ascii="Arial" w:hAnsi="Arial" w:cs="Arial"/>
                <w:color w:val="000000" w:themeColor="text1"/>
                <w:szCs w:val="24"/>
              </w:rPr>
              <w:t>6</w:t>
            </w:r>
          </w:p>
        </w:tc>
        <w:tc>
          <w:tcPr>
            <w:tcW w:w="2641" w:type="dxa"/>
          </w:tcPr>
          <w:p w14:paraId="08C1F7C3" w14:textId="551096E5"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12</w:t>
            </w:r>
            <w:r w:rsidR="00720E32">
              <w:rPr>
                <w:rFonts w:ascii="Arial" w:hAnsi="Arial" w:cs="Arial"/>
                <w:color w:val="000000" w:themeColor="text1"/>
                <w:szCs w:val="24"/>
              </w:rPr>
              <w:t>.</w:t>
            </w:r>
            <w:r w:rsidRPr="00274101">
              <w:rPr>
                <w:rFonts w:ascii="Arial" w:hAnsi="Arial" w:cs="Arial"/>
                <w:color w:val="000000" w:themeColor="text1"/>
                <w:szCs w:val="24"/>
              </w:rPr>
              <w:t>53</w:t>
            </w:r>
          </w:p>
        </w:tc>
      </w:tr>
      <w:tr w:rsidR="00B13105" w:rsidRPr="00274101" w14:paraId="5F55493D" w14:textId="77777777" w:rsidTr="00B13105">
        <w:tc>
          <w:tcPr>
            <w:tcW w:w="2640" w:type="dxa"/>
          </w:tcPr>
          <w:p w14:paraId="0CD3F931" w14:textId="6AF62B84"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proofErr w:type="spellStart"/>
            <w:r w:rsidRPr="00274101">
              <w:rPr>
                <w:rFonts w:ascii="Arial" w:hAnsi="Arial" w:cs="Arial"/>
                <w:color w:val="000000" w:themeColor="text1"/>
                <w:szCs w:val="24"/>
              </w:rPr>
              <w:t>SiO</w:t>
            </w:r>
            <w:proofErr w:type="spellEnd"/>
            <w:r w:rsidRPr="00274101">
              <w:rPr>
                <w:rFonts w:ascii="Cambria Math" w:hAnsi="Cambria Math" w:cs="Cambria Math"/>
                <w:color w:val="000000" w:themeColor="text1"/>
                <w:szCs w:val="24"/>
              </w:rPr>
              <w:t>₂</w:t>
            </w:r>
          </w:p>
        </w:tc>
        <w:tc>
          <w:tcPr>
            <w:tcW w:w="2640" w:type="dxa"/>
          </w:tcPr>
          <w:p w14:paraId="3B0B79AF" w14:textId="38797B34"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3</w:t>
            </w:r>
            <w:r w:rsidR="00720E32">
              <w:rPr>
                <w:rFonts w:ascii="Arial" w:hAnsi="Arial" w:cs="Arial"/>
                <w:color w:val="000000" w:themeColor="text1"/>
                <w:szCs w:val="24"/>
              </w:rPr>
              <w:t>.</w:t>
            </w:r>
            <w:r w:rsidRPr="00274101">
              <w:rPr>
                <w:rFonts w:ascii="Arial" w:hAnsi="Arial" w:cs="Arial"/>
                <w:color w:val="000000" w:themeColor="text1"/>
                <w:szCs w:val="24"/>
              </w:rPr>
              <w:t>72</w:t>
            </w:r>
          </w:p>
        </w:tc>
        <w:tc>
          <w:tcPr>
            <w:tcW w:w="2641" w:type="dxa"/>
          </w:tcPr>
          <w:p w14:paraId="424800D8" w14:textId="7089D03A"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64</w:t>
            </w:r>
            <w:r w:rsidR="00720E32">
              <w:rPr>
                <w:rFonts w:ascii="Arial" w:hAnsi="Arial" w:cs="Arial"/>
                <w:color w:val="000000" w:themeColor="text1"/>
                <w:szCs w:val="24"/>
              </w:rPr>
              <w:t>.</w:t>
            </w:r>
            <w:r w:rsidRPr="00274101">
              <w:rPr>
                <w:rFonts w:ascii="Arial" w:hAnsi="Arial" w:cs="Arial"/>
                <w:color w:val="000000" w:themeColor="text1"/>
                <w:szCs w:val="24"/>
              </w:rPr>
              <w:t>96</w:t>
            </w:r>
          </w:p>
        </w:tc>
      </w:tr>
      <w:tr w:rsidR="00B13105" w:rsidRPr="00274101" w14:paraId="31ED3197" w14:textId="77777777" w:rsidTr="00B13105">
        <w:tc>
          <w:tcPr>
            <w:tcW w:w="2640" w:type="dxa"/>
          </w:tcPr>
          <w:p w14:paraId="65E7A324" w14:textId="50B2A88C"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CaO</w:t>
            </w:r>
          </w:p>
        </w:tc>
        <w:tc>
          <w:tcPr>
            <w:tcW w:w="2640" w:type="dxa"/>
          </w:tcPr>
          <w:p w14:paraId="026A9132" w14:textId="4CB58FAD"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36</w:t>
            </w:r>
            <w:r w:rsidR="00720E32">
              <w:rPr>
                <w:rFonts w:ascii="Arial" w:hAnsi="Arial" w:cs="Arial"/>
                <w:color w:val="000000" w:themeColor="text1"/>
                <w:szCs w:val="24"/>
              </w:rPr>
              <w:t>.</w:t>
            </w:r>
            <w:r w:rsidRPr="00274101">
              <w:rPr>
                <w:rFonts w:ascii="Arial" w:hAnsi="Arial" w:cs="Arial"/>
                <w:color w:val="000000" w:themeColor="text1"/>
                <w:szCs w:val="24"/>
              </w:rPr>
              <w:t>38</w:t>
            </w:r>
          </w:p>
        </w:tc>
        <w:tc>
          <w:tcPr>
            <w:tcW w:w="2641" w:type="dxa"/>
          </w:tcPr>
          <w:p w14:paraId="4D50DAF8" w14:textId="74A6F050"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5</w:t>
            </w:r>
            <w:r w:rsidR="00720E32">
              <w:rPr>
                <w:rFonts w:ascii="Arial" w:hAnsi="Arial" w:cs="Arial"/>
                <w:color w:val="000000" w:themeColor="text1"/>
                <w:szCs w:val="24"/>
              </w:rPr>
              <w:t>.</w:t>
            </w:r>
            <w:r w:rsidRPr="00274101">
              <w:rPr>
                <w:rFonts w:ascii="Arial" w:hAnsi="Arial" w:cs="Arial"/>
                <w:color w:val="000000" w:themeColor="text1"/>
                <w:szCs w:val="24"/>
              </w:rPr>
              <w:t>5</w:t>
            </w:r>
          </w:p>
        </w:tc>
      </w:tr>
      <w:tr w:rsidR="00B13105" w:rsidRPr="00274101" w14:paraId="5EACB673" w14:textId="77777777" w:rsidTr="00B13105">
        <w:tc>
          <w:tcPr>
            <w:tcW w:w="2640" w:type="dxa"/>
          </w:tcPr>
          <w:p w14:paraId="02798744" w14:textId="0C879163"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proofErr w:type="spellStart"/>
            <w:r w:rsidRPr="00274101">
              <w:rPr>
                <w:rFonts w:ascii="Arial" w:hAnsi="Arial" w:cs="Arial"/>
                <w:color w:val="000000" w:themeColor="text1"/>
                <w:szCs w:val="24"/>
              </w:rPr>
              <w:t>Fe</w:t>
            </w:r>
            <w:r w:rsidRPr="00274101">
              <w:rPr>
                <w:rFonts w:ascii="Cambria Math" w:hAnsi="Cambria Math" w:cs="Cambria Math"/>
                <w:color w:val="000000" w:themeColor="text1"/>
                <w:szCs w:val="24"/>
              </w:rPr>
              <w:t>₂</w:t>
            </w:r>
            <w:r w:rsidRPr="00274101">
              <w:rPr>
                <w:rFonts w:ascii="Arial" w:hAnsi="Arial" w:cs="Arial"/>
                <w:color w:val="000000" w:themeColor="text1"/>
                <w:szCs w:val="24"/>
              </w:rPr>
              <w:t>O</w:t>
            </w:r>
            <w:proofErr w:type="spellEnd"/>
            <w:r w:rsidRPr="00274101">
              <w:rPr>
                <w:rFonts w:ascii="Cambria Math" w:hAnsi="Cambria Math" w:cs="Cambria Math"/>
                <w:color w:val="000000" w:themeColor="text1"/>
                <w:szCs w:val="24"/>
              </w:rPr>
              <w:t>₃</w:t>
            </w:r>
          </w:p>
        </w:tc>
        <w:tc>
          <w:tcPr>
            <w:tcW w:w="2640" w:type="dxa"/>
          </w:tcPr>
          <w:p w14:paraId="0B46EB70" w14:textId="30B89B7D"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15</w:t>
            </w:r>
            <w:r w:rsidR="00720E32">
              <w:rPr>
                <w:rFonts w:ascii="Arial" w:hAnsi="Arial" w:cs="Arial"/>
                <w:color w:val="000000" w:themeColor="text1"/>
                <w:szCs w:val="24"/>
              </w:rPr>
              <w:t>.</w:t>
            </w:r>
            <w:r w:rsidRPr="00274101">
              <w:rPr>
                <w:rFonts w:ascii="Arial" w:hAnsi="Arial" w:cs="Arial"/>
                <w:color w:val="000000" w:themeColor="text1"/>
                <w:szCs w:val="24"/>
              </w:rPr>
              <w:t>82</w:t>
            </w:r>
          </w:p>
        </w:tc>
        <w:tc>
          <w:tcPr>
            <w:tcW w:w="2641" w:type="dxa"/>
          </w:tcPr>
          <w:p w14:paraId="3AC2CFDA" w14:textId="1414FF45"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2</w:t>
            </w:r>
            <w:r w:rsidR="00720E32">
              <w:rPr>
                <w:rFonts w:ascii="Arial" w:hAnsi="Arial" w:cs="Arial"/>
                <w:color w:val="000000" w:themeColor="text1"/>
                <w:szCs w:val="24"/>
              </w:rPr>
              <w:t>.</w:t>
            </w:r>
            <w:r w:rsidRPr="00274101">
              <w:rPr>
                <w:rFonts w:ascii="Arial" w:hAnsi="Arial" w:cs="Arial"/>
                <w:color w:val="000000" w:themeColor="text1"/>
                <w:szCs w:val="24"/>
              </w:rPr>
              <w:t>64</w:t>
            </w:r>
          </w:p>
        </w:tc>
      </w:tr>
      <w:tr w:rsidR="00B13105" w:rsidRPr="00274101" w14:paraId="1A93E2D5" w14:textId="77777777" w:rsidTr="00B13105">
        <w:tc>
          <w:tcPr>
            <w:tcW w:w="2640" w:type="dxa"/>
          </w:tcPr>
          <w:p w14:paraId="57333DCE" w14:textId="3A9A0755" w:rsidR="00B13105" w:rsidRPr="00274101" w:rsidRDefault="00B13105"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MgO</w:t>
            </w:r>
          </w:p>
        </w:tc>
        <w:tc>
          <w:tcPr>
            <w:tcW w:w="2640" w:type="dxa"/>
          </w:tcPr>
          <w:p w14:paraId="63D6FE5F" w14:textId="549E4D7A"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0</w:t>
            </w:r>
            <w:r w:rsidR="00720E32">
              <w:rPr>
                <w:rFonts w:ascii="Arial" w:hAnsi="Arial" w:cs="Arial"/>
                <w:color w:val="000000" w:themeColor="text1"/>
                <w:szCs w:val="24"/>
              </w:rPr>
              <w:t>.</w:t>
            </w:r>
            <w:r w:rsidRPr="00274101">
              <w:rPr>
                <w:rFonts w:ascii="Arial" w:hAnsi="Arial" w:cs="Arial"/>
                <w:color w:val="000000" w:themeColor="text1"/>
                <w:szCs w:val="24"/>
              </w:rPr>
              <w:t>5</w:t>
            </w:r>
          </w:p>
        </w:tc>
        <w:tc>
          <w:tcPr>
            <w:tcW w:w="2641" w:type="dxa"/>
          </w:tcPr>
          <w:p w14:paraId="49E969FD" w14:textId="0CBC7552" w:rsidR="00B13105" w:rsidRPr="00274101" w:rsidRDefault="004776B0"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1</w:t>
            </w:r>
            <w:r w:rsidR="00720E32">
              <w:rPr>
                <w:rFonts w:ascii="Arial" w:hAnsi="Arial" w:cs="Arial"/>
                <w:color w:val="000000" w:themeColor="text1"/>
                <w:szCs w:val="24"/>
              </w:rPr>
              <w:t>.</w:t>
            </w:r>
            <w:r w:rsidRPr="00274101">
              <w:rPr>
                <w:rFonts w:ascii="Arial" w:hAnsi="Arial" w:cs="Arial"/>
                <w:color w:val="000000" w:themeColor="text1"/>
                <w:szCs w:val="24"/>
              </w:rPr>
              <w:t>2</w:t>
            </w:r>
          </w:p>
        </w:tc>
      </w:tr>
    </w:tbl>
    <w:p w14:paraId="0CEE3EE3" w14:textId="77777777" w:rsidR="00B13105" w:rsidRPr="00274101" w:rsidRDefault="00B13105"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42BD9D57" w14:textId="3E3AEA08" w:rsidR="0058605C" w:rsidRPr="0058605C" w:rsidRDefault="008823D9" w:rsidP="0058605C">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274101">
        <w:rPr>
          <w:rFonts w:ascii="Arial" w:hAnsi="Arial" w:cs="Arial"/>
          <w:noProof/>
          <w:color w:val="000000" w:themeColor="text1"/>
          <w:szCs w:val="24"/>
        </w:rPr>
        <mc:AlternateContent>
          <mc:Choice Requires="wps">
            <w:drawing>
              <wp:anchor distT="45720" distB="45720" distL="114300" distR="114300" simplePos="0" relativeHeight="251659264" behindDoc="0" locked="0" layoutInCell="1" allowOverlap="1" wp14:anchorId="7530FFD5" wp14:editId="05F6ADDE">
                <wp:simplePos x="0" y="0"/>
                <wp:positionH relativeFrom="column">
                  <wp:posOffset>626456</wp:posOffset>
                </wp:positionH>
                <wp:positionV relativeFrom="paragraph">
                  <wp:posOffset>361950</wp:posOffset>
                </wp:positionV>
                <wp:extent cx="1226330" cy="86810"/>
                <wp:effectExtent l="0" t="0" r="12065" b="2794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330" cy="86810"/>
                        </a:xfrm>
                        <a:prstGeom prst="rect">
                          <a:avLst/>
                        </a:prstGeom>
                        <a:solidFill>
                          <a:schemeClr val="bg1"/>
                        </a:solidFill>
                        <a:ln w="9525">
                          <a:solidFill>
                            <a:schemeClr val="bg1"/>
                          </a:solidFill>
                          <a:miter lim="800000"/>
                          <a:headEnd/>
                          <a:tailEnd/>
                        </a:ln>
                      </wps:spPr>
                      <wps:txbx>
                        <w:txbxContent>
                          <w:p w14:paraId="700CA6A6" w14:textId="3AB3B5B3" w:rsidR="008823D9" w:rsidRPr="00274101" w:rsidRDefault="00882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0FFD5" id="_x0000_t202" coordsize="21600,21600" o:spt="202" path="m,l,21600r21600,l21600,xe">
                <v:stroke joinstyle="miter"/>
                <v:path gradientshapeok="t" o:connecttype="rect"/>
              </v:shapetype>
              <v:shape id="Metin Kutusu 2" o:spid="_x0000_s1026" type="#_x0000_t202" style="position:absolute;left:0;text-align:left;margin-left:49.35pt;margin-top:28.5pt;width:96.55pt;height:6.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" fillcolor="white [3212]" strokecolor="white [3212]">
                <v:textbox>
                  <w:txbxContent>
                    <w:p w14:paraId="700CA6A6" w14:textId="3AB3B5B3" w:rsidR="008823D9" w:rsidRPr="00274101" w:rsidRDefault="008823D9"/>
                  </w:txbxContent>
                </v:textbox>
              </v:shape>
            </w:pict>
          </mc:Fallback>
        </mc:AlternateContent>
      </w:r>
      <w:r w:rsidR="0058605C" w:rsidRPr="00274101">
        <w:rPr>
          <w:rFonts w:ascii="Arial" w:hAnsi="Arial" w:cs="Arial"/>
          <w:noProof/>
          <w:color w:val="000000" w:themeColor="text1"/>
          <w:szCs w:val="24"/>
        </w:rPr>
        <w:drawing>
          <wp:inline distT="0" distB="0" distL="0" distR="0" wp14:anchorId="562E213A" wp14:editId="6B176C5C">
            <wp:extent cx="4908390" cy="2653786"/>
            <wp:effectExtent l="57150" t="57150" r="102235" b="89535"/>
            <wp:docPr id="83137254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1538" cy="2666301"/>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2A69C803" w14:textId="77777777" w:rsidR="00302C3E" w:rsidRPr="00AE7D09" w:rsidRDefault="00302C3E" w:rsidP="00302C3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 w:val="20"/>
        </w:rPr>
      </w:pPr>
      <w:r w:rsidRPr="00274101">
        <w:rPr>
          <w:rFonts w:ascii="Arial" w:hAnsi="Arial" w:cs="Arial"/>
          <w:color w:val="000000" w:themeColor="text1"/>
          <w:sz w:val="20"/>
        </w:rPr>
        <w:t xml:space="preserve">Figure </w:t>
      </w:r>
      <w:r w:rsidRPr="00274101">
        <w:rPr>
          <w:rFonts w:ascii="Arial" w:hAnsi="Arial" w:cs="Arial"/>
          <w:color w:val="000000" w:themeColor="text1"/>
          <w:sz w:val="20"/>
        </w:rPr>
        <w:fldChar w:fldCharType="begin"/>
      </w:r>
      <w:r w:rsidRPr="00274101">
        <w:rPr>
          <w:rFonts w:ascii="Arial" w:hAnsi="Arial" w:cs="Arial"/>
          <w:color w:val="000000" w:themeColor="text1"/>
          <w:sz w:val="20"/>
        </w:rPr>
        <w:instrText xml:space="preserve"> SEQ Şekil \* ARABIC </w:instrText>
      </w:r>
      <w:r w:rsidRPr="00274101">
        <w:rPr>
          <w:rFonts w:ascii="Arial" w:hAnsi="Arial" w:cs="Arial"/>
          <w:color w:val="000000" w:themeColor="text1"/>
          <w:sz w:val="20"/>
        </w:rPr>
        <w:fldChar w:fldCharType="separate"/>
      </w:r>
      <w:r w:rsidRPr="00274101">
        <w:rPr>
          <w:rFonts w:ascii="Arial" w:hAnsi="Arial" w:cs="Arial"/>
          <w:color w:val="000000" w:themeColor="text1"/>
          <w:sz w:val="20"/>
        </w:rPr>
        <w:t>1</w:t>
      </w:r>
      <w:r w:rsidRPr="00274101">
        <w:rPr>
          <w:rFonts w:ascii="Arial" w:hAnsi="Arial" w:cs="Arial"/>
          <w:color w:val="000000" w:themeColor="text1"/>
          <w:sz w:val="20"/>
        </w:rPr>
        <w:fldChar w:fldCharType="end"/>
      </w:r>
      <w:r w:rsidRPr="00274101">
        <w:rPr>
          <w:rFonts w:ascii="Arial" w:hAnsi="Arial" w:cs="Arial"/>
          <w:color w:val="000000" w:themeColor="text1"/>
          <w:sz w:val="20"/>
        </w:rPr>
        <w:t>.</w:t>
      </w:r>
      <w:r w:rsidRPr="00274101">
        <w:rPr>
          <w:sz w:val="20"/>
          <w:szCs w:val="16"/>
        </w:rPr>
        <w:t xml:space="preserve"> </w:t>
      </w:r>
      <w:r w:rsidRPr="00274101">
        <w:rPr>
          <w:rFonts w:ascii="Arial" w:hAnsi="Arial" w:cs="Arial"/>
          <w:color w:val="000000" w:themeColor="text1"/>
          <w:sz w:val="20"/>
        </w:rPr>
        <w:t>XRD pattern of the CAC clinker</w:t>
      </w:r>
    </w:p>
    <w:p w14:paraId="5D4BBE87" w14:textId="372AE63E" w:rsidR="00302C3E" w:rsidRPr="00274101" w:rsidRDefault="00302C3E" w:rsidP="00302C3E">
      <w:pPr>
        <w:pStyle w:val="ResimYazs"/>
        <w:rPr>
          <w:color w:val="000000" w:themeColor="text1"/>
          <w:szCs w:val="24"/>
        </w:rPr>
      </w:pPr>
    </w:p>
    <w:p w14:paraId="65F19DD4" w14:textId="77777777" w:rsidR="00AE7D09" w:rsidRPr="00274101" w:rsidRDefault="00AE7D09"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2970AA3C" w14:textId="77777777" w:rsidR="00AE7D09" w:rsidRPr="00AE7D09" w:rsidRDefault="00AE7D09"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r w:rsidRPr="00AE7D09">
        <w:rPr>
          <w:rFonts w:ascii="Arial" w:hAnsi="Arial" w:cs="Arial"/>
          <w:b/>
          <w:bCs/>
          <w:color w:val="000000" w:themeColor="text1"/>
          <w:szCs w:val="24"/>
        </w:rPr>
        <w:t>Mechanical Activation</w:t>
      </w:r>
    </w:p>
    <w:p w14:paraId="57BF3CC1" w14:textId="63BE5F09" w:rsidR="00AE7D09" w:rsidRPr="00AE7D09" w:rsidRDefault="00AE7D09"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AE7D09">
        <w:rPr>
          <w:rFonts w:ascii="Arial" w:hAnsi="Arial" w:cs="Arial"/>
          <w:color w:val="000000" w:themeColor="text1"/>
          <w:szCs w:val="24"/>
        </w:rPr>
        <w:t>The pumice was mechanically activated using a ball mill for</w:t>
      </w:r>
      <w:r w:rsidR="004776B0" w:rsidRPr="00274101">
        <w:rPr>
          <w:rFonts w:ascii="Arial" w:hAnsi="Arial" w:cs="Arial"/>
          <w:color w:val="000000" w:themeColor="text1"/>
          <w:szCs w:val="24"/>
        </w:rPr>
        <w:t xml:space="preserve"> 20</w:t>
      </w:r>
      <w:r w:rsidRPr="00AE7D09">
        <w:rPr>
          <w:rFonts w:ascii="Arial" w:hAnsi="Arial" w:cs="Arial"/>
          <w:color w:val="000000" w:themeColor="text1"/>
          <w:szCs w:val="24"/>
        </w:rPr>
        <w:t xml:space="preserve"> minutes. The activation process aimed to increase the specific surface area</w:t>
      </w:r>
      <w:r w:rsidR="00AA623C">
        <w:rPr>
          <w:rFonts w:ascii="Arial" w:hAnsi="Arial" w:cs="Arial"/>
          <w:color w:val="000000" w:themeColor="text1"/>
          <w:szCs w:val="24"/>
        </w:rPr>
        <w:t xml:space="preserve">. </w:t>
      </w:r>
      <w:r w:rsidRPr="00AE7D09">
        <w:rPr>
          <w:rFonts w:ascii="Arial" w:hAnsi="Arial" w:cs="Arial"/>
          <w:color w:val="000000" w:themeColor="text1"/>
          <w:szCs w:val="24"/>
        </w:rPr>
        <w:t>After grinding, particle size distribution analysis indicated a D</w:t>
      </w:r>
      <w:r w:rsidR="004776B0" w:rsidRPr="00274101">
        <w:rPr>
          <w:rFonts w:ascii="Arial" w:hAnsi="Arial" w:cs="Arial"/>
          <w:color w:val="000000" w:themeColor="text1"/>
          <w:szCs w:val="24"/>
        </w:rPr>
        <w:t>45</w:t>
      </w:r>
      <w:r w:rsidRPr="00AE7D09">
        <w:rPr>
          <w:rFonts w:ascii="Arial" w:hAnsi="Arial" w:cs="Arial"/>
          <w:color w:val="000000" w:themeColor="text1"/>
          <w:szCs w:val="24"/>
        </w:rPr>
        <w:t xml:space="preserve"> value of </w:t>
      </w:r>
      <w:r w:rsidR="004776B0" w:rsidRPr="00274101">
        <w:rPr>
          <w:rFonts w:ascii="Arial" w:hAnsi="Arial" w:cs="Arial"/>
          <w:color w:val="000000" w:themeColor="text1"/>
          <w:szCs w:val="24"/>
        </w:rPr>
        <w:t>18</w:t>
      </w:r>
      <w:r w:rsidR="00720E32">
        <w:rPr>
          <w:rFonts w:ascii="Arial" w:hAnsi="Arial" w:cs="Arial"/>
          <w:color w:val="000000" w:themeColor="text1"/>
          <w:szCs w:val="24"/>
        </w:rPr>
        <w:t>.</w:t>
      </w:r>
      <w:r w:rsidR="004776B0" w:rsidRPr="00274101">
        <w:rPr>
          <w:rFonts w:ascii="Arial" w:hAnsi="Arial" w:cs="Arial"/>
          <w:color w:val="000000" w:themeColor="text1"/>
          <w:szCs w:val="24"/>
        </w:rPr>
        <w:t>85</w:t>
      </w:r>
      <w:r w:rsidRPr="00AE7D09">
        <w:rPr>
          <w:rFonts w:ascii="Arial" w:hAnsi="Arial" w:cs="Arial"/>
          <w:color w:val="000000" w:themeColor="text1"/>
          <w:szCs w:val="24"/>
        </w:rPr>
        <w:t xml:space="preserve"> µm.</w:t>
      </w:r>
    </w:p>
    <w:p w14:paraId="5E8A8EE1" w14:textId="77777777" w:rsidR="00AE7D09" w:rsidRPr="00AE7D09" w:rsidRDefault="00AE7D09"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r w:rsidRPr="00AE7D09">
        <w:rPr>
          <w:rFonts w:ascii="Arial" w:hAnsi="Arial" w:cs="Arial"/>
          <w:b/>
          <w:bCs/>
          <w:color w:val="000000" w:themeColor="text1"/>
          <w:szCs w:val="24"/>
        </w:rPr>
        <w:lastRenderedPageBreak/>
        <w:t>Mixture Design</w:t>
      </w:r>
    </w:p>
    <w:p w14:paraId="3FEE7B2B" w14:textId="5FEF8E2D" w:rsidR="00AE7D09" w:rsidRPr="00274101" w:rsidRDefault="00AE7D09" w:rsidP="006447FE">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AE7D09">
        <w:rPr>
          <w:rFonts w:ascii="Arial" w:hAnsi="Arial" w:cs="Arial"/>
          <w:color w:val="000000" w:themeColor="text1"/>
          <w:szCs w:val="24"/>
        </w:rPr>
        <w:t xml:space="preserve">Partial replacement of CAC with activated pumice was performed at different substitution levels. The reference mixture contained 100% CAC, while other mixtures included </w:t>
      </w:r>
      <w:r w:rsidR="00080378" w:rsidRPr="00274101">
        <w:rPr>
          <w:rFonts w:ascii="Arial" w:hAnsi="Arial" w:cs="Arial"/>
          <w:color w:val="000000" w:themeColor="text1"/>
          <w:szCs w:val="24"/>
        </w:rPr>
        <w:t>5</w:t>
      </w:r>
      <w:r w:rsidRPr="00AE7D09">
        <w:rPr>
          <w:rFonts w:ascii="Arial" w:hAnsi="Arial" w:cs="Arial"/>
          <w:color w:val="000000" w:themeColor="text1"/>
          <w:szCs w:val="24"/>
        </w:rPr>
        <w:t xml:space="preserve">%, </w:t>
      </w:r>
      <w:r w:rsidR="00080378" w:rsidRPr="00274101">
        <w:rPr>
          <w:rFonts w:ascii="Arial" w:hAnsi="Arial" w:cs="Arial"/>
          <w:color w:val="000000" w:themeColor="text1"/>
          <w:szCs w:val="24"/>
        </w:rPr>
        <w:t>10</w:t>
      </w:r>
      <w:r w:rsidRPr="00AE7D09">
        <w:rPr>
          <w:rFonts w:ascii="Arial" w:hAnsi="Arial" w:cs="Arial"/>
          <w:color w:val="000000" w:themeColor="text1"/>
          <w:szCs w:val="24"/>
        </w:rPr>
        <w:t>%replacement of CAC by activated pumice.</w:t>
      </w:r>
    </w:p>
    <w:p w14:paraId="6E1171B3" w14:textId="77777777" w:rsidR="00F9397C" w:rsidRPr="00274101" w:rsidRDefault="00F9397C"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p>
    <w:p w14:paraId="5D5A7F61" w14:textId="3F6D174E" w:rsidR="00AE7D09" w:rsidRPr="00AE7D09" w:rsidRDefault="00DF4302" w:rsidP="00DF4302">
      <w:pPr>
        <w:pStyle w:val="ResimYazs"/>
      </w:pPr>
      <w:r w:rsidRPr="00274101">
        <w:t xml:space="preserve">Table </w:t>
      </w:r>
      <w:r w:rsidRPr="00274101">
        <w:fldChar w:fldCharType="begin"/>
      </w:r>
      <w:r w:rsidRPr="00274101">
        <w:instrText xml:space="preserve"> SEQ Tablo \* ARABIC </w:instrText>
      </w:r>
      <w:r w:rsidRPr="00274101">
        <w:fldChar w:fldCharType="separate"/>
      </w:r>
      <w:r w:rsidR="002C3E65">
        <w:rPr>
          <w:noProof/>
        </w:rPr>
        <w:t>2</w:t>
      </w:r>
      <w:r w:rsidRPr="00274101">
        <w:fldChar w:fldCharType="end"/>
      </w:r>
      <w:r w:rsidRPr="00274101">
        <w:t xml:space="preserve">. </w:t>
      </w:r>
      <w:r w:rsidR="00AE7D09" w:rsidRPr="00AE7D09">
        <w:t>Mix proportions and replacement levels</w:t>
      </w:r>
    </w:p>
    <w:tbl>
      <w:tblPr>
        <w:tblStyle w:val="TabloKlavuzu"/>
        <w:tblW w:w="8075" w:type="dxa"/>
        <w:tblLook w:val="04A0" w:firstRow="1" w:lastRow="0" w:firstColumn="1" w:lastColumn="0" w:noHBand="0" w:noVBand="1"/>
      </w:tblPr>
      <w:tblGrid>
        <w:gridCol w:w="2640"/>
        <w:gridCol w:w="2640"/>
        <w:gridCol w:w="2795"/>
      </w:tblGrid>
      <w:tr w:rsidR="005F2363" w:rsidRPr="005F2363" w14:paraId="6AE6D7E8" w14:textId="77777777" w:rsidTr="00BE58F6">
        <w:tc>
          <w:tcPr>
            <w:tcW w:w="2640" w:type="dxa"/>
          </w:tcPr>
          <w:p w14:paraId="3326F32E" w14:textId="799DECD7" w:rsidR="005F2363" w:rsidRPr="005F2363" w:rsidRDefault="0058605C"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Mix ID</w:t>
            </w:r>
          </w:p>
        </w:tc>
        <w:tc>
          <w:tcPr>
            <w:tcW w:w="2640" w:type="dxa"/>
          </w:tcPr>
          <w:p w14:paraId="784BF0DE" w14:textId="3CFC97B0" w:rsidR="005F2363" w:rsidRPr="005F2363" w:rsidRDefault="0058605C"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CAC (%)</w:t>
            </w:r>
          </w:p>
        </w:tc>
        <w:tc>
          <w:tcPr>
            <w:tcW w:w="2795" w:type="dxa"/>
          </w:tcPr>
          <w:p w14:paraId="14646797" w14:textId="3AF93042" w:rsidR="005F2363" w:rsidRPr="005F2363" w:rsidRDefault="0058605C"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sidRPr="00274101">
              <w:rPr>
                <w:rFonts w:ascii="Arial" w:hAnsi="Arial" w:cs="Arial"/>
                <w:b/>
                <w:bCs/>
                <w:i/>
                <w:iCs/>
                <w:color w:val="000000" w:themeColor="text1"/>
                <w:szCs w:val="24"/>
              </w:rPr>
              <w:t>Activated Pumice (%)</w:t>
            </w:r>
          </w:p>
        </w:tc>
      </w:tr>
      <w:tr w:rsidR="005F2363" w:rsidRPr="005F2363" w14:paraId="25727AE8" w14:textId="77777777" w:rsidTr="00BE58F6">
        <w:tc>
          <w:tcPr>
            <w:tcW w:w="2640" w:type="dxa"/>
          </w:tcPr>
          <w:p w14:paraId="34F5C722" w14:textId="7B69FDF0"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Reference</w:t>
            </w:r>
          </w:p>
        </w:tc>
        <w:tc>
          <w:tcPr>
            <w:tcW w:w="2640" w:type="dxa"/>
          </w:tcPr>
          <w:p w14:paraId="53E533E6" w14:textId="41C1D165"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100</w:t>
            </w:r>
          </w:p>
        </w:tc>
        <w:tc>
          <w:tcPr>
            <w:tcW w:w="2795" w:type="dxa"/>
          </w:tcPr>
          <w:p w14:paraId="1B04E283" w14:textId="438ADD18"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0</w:t>
            </w:r>
          </w:p>
        </w:tc>
      </w:tr>
      <w:tr w:rsidR="005F2363" w:rsidRPr="005F2363" w14:paraId="5755BF07" w14:textId="77777777" w:rsidTr="00BE58F6">
        <w:tc>
          <w:tcPr>
            <w:tcW w:w="2640" w:type="dxa"/>
          </w:tcPr>
          <w:p w14:paraId="33E1DC6A" w14:textId="289059A9"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P5</w:t>
            </w:r>
          </w:p>
        </w:tc>
        <w:tc>
          <w:tcPr>
            <w:tcW w:w="2640" w:type="dxa"/>
          </w:tcPr>
          <w:p w14:paraId="7AD1A8F1" w14:textId="4F1EA6CE"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95</w:t>
            </w:r>
          </w:p>
        </w:tc>
        <w:tc>
          <w:tcPr>
            <w:tcW w:w="2795" w:type="dxa"/>
          </w:tcPr>
          <w:p w14:paraId="584B2EF8" w14:textId="65F20998"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5</w:t>
            </w:r>
          </w:p>
        </w:tc>
      </w:tr>
      <w:tr w:rsidR="005F2363" w:rsidRPr="005F2363" w14:paraId="4B3978E9" w14:textId="77777777" w:rsidTr="00BE58F6">
        <w:tc>
          <w:tcPr>
            <w:tcW w:w="2640" w:type="dxa"/>
          </w:tcPr>
          <w:p w14:paraId="0F8E4EB5" w14:textId="4AF07CE7"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P10</w:t>
            </w:r>
          </w:p>
        </w:tc>
        <w:tc>
          <w:tcPr>
            <w:tcW w:w="2640" w:type="dxa"/>
          </w:tcPr>
          <w:p w14:paraId="616E1D17" w14:textId="3896A571"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90</w:t>
            </w:r>
          </w:p>
        </w:tc>
        <w:tc>
          <w:tcPr>
            <w:tcW w:w="2795" w:type="dxa"/>
          </w:tcPr>
          <w:p w14:paraId="585EE30E" w14:textId="223C2C54" w:rsidR="005F2363" w:rsidRPr="005F2363" w:rsidRDefault="00BE58F6" w:rsidP="00BE58F6">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sidRPr="00274101">
              <w:rPr>
                <w:rFonts w:ascii="Arial" w:hAnsi="Arial" w:cs="Arial"/>
                <w:color w:val="000000" w:themeColor="text1"/>
                <w:szCs w:val="24"/>
              </w:rPr>
              <w:t>10</w:t>
            </w:r>
          </w:p>
        </w:tc>
      </w:tr>
    </w:tbl>
    <w:p w14:paraId="141701D7" w14:textId="443C1C4C" w:rsidR="00DF4302" w:rsidRPr="00AA623C" w:rsidRDefault="00AA623C"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Pr>
          <w:rFonts w:ascii="Arial" w:hAnsi="Arial" w:cs="Arial"/>
          <w:color w:val="000000" w:themeColor="text1"/>
          <w:szCs w:val="24"/>
        </w:rPr>
        <w:t>*</w:t>
      </w:r>
      <w:r w:rsidRPr="00AA623C">
        <w:rPr>
          <w:rFonts w:ascii="Arial" w:hAnsi="Arial" w:cs="Arial"/>
          <w:color w:val="000000" w:themeColor="text1"/>
          <w:szCs w:val="24"/>
        </w:rPr>
        <w:t xml:space="preserve"> </w:t>
      </w:r>
      <w:r w:rsidRPr="00274101">
        <w:rPr>
          <w:rFonts w:ascii="Arial" w:hAnsi="Arial" w:cs="Arial"/>
          <w:color w:val="000000" w:themeColor="text1"/>
          <w:szCs w:val="24"/>
        </w:rPr>
        <w:t>The water content was kept constant at 28%.</w:t>
      </w:r>
    </w:p>
    <w:p w14:paraId="3A20FE12" w14:textId="77777777" w:rsidR="0058605C" w:rsidRPr="00274101" w:rsidRDefault="0058605C"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p>
    <w:p w14:paraId="63EF61D2" w14:textId="77777777" w:rsidR="00D4779F" w:rsidRDefault="00D4779F"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p>
    <w:p w14:paraId="25926190" w14:textId="566B0D70" w:rsidR="00AE7D09" w:rsidRPr="00AE7D09" w:rsidRDefault="00AE7D09" w:rsidP="00AE7D0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color w:val="000000" w:themeColor="text1"/>
          <w:szCs w:val="24"/>
        </w:rPr>
      </w:pPr>
      <w:r w:rsidRPr="00AE7D09">
        <w:rPr>
          <w:rFonts w:ascii="Arial" w:hAnsi="Arial" w:cs="Arial"/>
          <w:b/>
          <w:bCs/>
          <w:color w:val="000000" w:themeColor="text1"/>
          <w:szCs w:val="24"/>
        </w:rPr>
        <w:t>Test Methods</w:t>
      </w:r>
    </w:p>
    <w:p w14:paraId="389F7FF9" w14:textId="7CA55714" w:rsidR="005F2363" w:rsidRPr="00274101" w:rsidRDefault="005F2363" w:rsidP="005F2363">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274101">
        <w:rPr>
          <w:rFonts w:ascii="Arial" w:hAnsi="Arial" w:cs="Arial"/>
          <w:color w:val="000000" w:themeColor="text1"/>
          <w:szCs w:val="24"/>
        </w:rPr>
        <w:t xml:space="preserve">Setting time was determined according to the Vicat method. Mechanical and physical tests are done accordingly EN 197-1 </w:t>
      </w:r>
      <w:r w:rsidR="003468B6" w:rsidRPr="00274101">
        <w:rPr>
          <w:rFonts w:ascii="Arial" w:hAnsi="Arial" w:cs="Arial"/>
          <w:color w:val="000000" w:themeColor="text1"/>
          <w:szCs w:val="24"/>
        </w:rPr>
        <w:t>to</w:t>
      </w:r>
      <w:r w:rsidRPr="00274101">
        <w:rPr>
          <w:rFonts w:ascii="Arial" w:hAnsi="Arial" w:cs="Arial"/>
          <w:color w:val="000000" w:themeColor="text1"/>
          <w:szCs w:val="24"/>
        </w:rPr>
        <w:t xml:space="preserve"> check standard cement sample performance.</w:t>
      </w:r>
    </w:p>
    <w:p w14:paraId="29248DC7" w14:textId="25042393" w:rsidR="00AE7D09" w:rsidRPr="006447FE" w:rsidRDefault="005F2363" w:rsidP="005F2363">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r w:rsidRPr="00274101">
        <w:rPr>
          <w:rFonts w:ascii="Arial" w:hAnsi="Arial" w:cs="Arial"/>
          <w:color w:val="000000" w:themeColor="text1"/>
          <w:szCs w:val="24"/>
        </w:rPr>
        <w:t xml:space="preserve">Compressive strength tests were performed at 6 hours and 24 hours using a universal testing </w:t>
      </w:r>
      <w:r w:rsidR="003468B6" w:rsidRPr="00274101">
        <w:rPr>
          <w:rFonts w:ascii="Arial" w:hAnsi="Arial" w:cs="Arial"/>
          <w:color w:val="000000" w:themeColor="text1"/>
          <w:szCs w:val="24"/>
        </w:rPr>
        <w:t>machine. The</w:t>
      </w:r>
      <w:r w:rsidRPr="00274101">
        <w:rPr>
          <w:rFonts w:ascii="Arial" w:hAnsi="Arial" w:cs="Arial"/>
          <w:color w:val="000000" w:themeColor="text1"/>
          <w:szCs w:val="24"/>
        </w:rPr>
        <w:t xml:space="preserve"> performance of pumice-substituted cement was evaluated in self-</w:t>
      </w:r>
      <w:r w:rsidR="003468B6" w:rsidRPr="00274101">
        <w:rPr>
          <w:rFonts w:ascii="Arial" w:hAnsi="Arial" w:cs="Arial"/>
          <w:color w:val="000000" w:themeColor="text1"/>
          <w:szCs w:val="24"/>
        </w:rPr>
        <w:t>levelling</w:t>
      </w:r>
      <w:r w:rsidRPr="00274101">
        <w:rPr>
          <w:rFonts w:ascii="Arial" w:hAnsi="Arial" w:cs="Arial"/>
          <w:color w:val="000000" w:themeColor="text1"/>
          <w:szCs w:val="24"/>
        </w:rPr>
        <w:t xml:space="preserve"> mortar formulations.</w:t>
      </w:r>
    </w:p>
    <w:p w14:paraId="23A2BC41" w14:textId="4B8F59B3" w:rsidR="00055962" w:rsidRPr="00274101" w:rsidRDefault="00055962"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color w:val="000000" w:themeColor="text1"/>
          <w:szCs w:val="24"/>
        </w:rPr>
      </w:pPr>
    </w:p>
    <w:p w14:paraId="0385420F" w14:textId="7A5D7A65" w:rsidR="007F639E" w:rsidRPr="00274101" w:rsidRDefault="007F639E" w:rsidP="007F639E">
      <w:pPr>
        <w:pStyle w:val="Balk1"/>
      </w:pPr>
      <w:r w:rsidRPr="00274101">
        <w:t>CONCLUSIONS</w:t>
      </w:r>
    </w:p>
    <w:p w14:paraId="7826E13C" w14:textId="3AC6A3FA" w:rsidR="001D4826" w:rsidRDefault="00CD3449" w:rsidP="00CD344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r w:rsidRPr="00CD3449">
        <w:rPr>
          <w:rFonts w:ascii="Arial" w:hAnsi="Arial" w:cs="Arial"/>
          <w:szCs w:val="24"/>
        </w:rPr>
        <w:t xml:space="preserve">The setting time and compressive strength results of the reference and pumice-substituted mixtures are summarized in Table </w:t>
      </w:r>
      <w:r w:rsidR="006F412A">
        <w:rPr>
          <w:rFonts w:ascii="Arial" w:hAnsi="Arial" w:cs="Arial"/>
          <w:szCs w:val="24"/>
        </w:rPr>
        <w:t>3</w:t>
      </w:r>
      <w:r w:rsidRPr="00CD3449">
        <w:rPr>
          <w:rFonts w:ascii="Arial" w:hAnsi="Arial" w:cs="Arial"/>
          <w:szCs w:val="24"/>
        </w:rPr>
        <w:t xml:space="preserve">. The reference CAC mixture exhibited initial and final setting times of 260 and 285 minutes, respectively. In contrast, mixtures incorporating mechanically activated pumice showed a significant acceleration in setting </w:t>
      </w:r>
      <w:r w:rsidR="003468B6" w:rsidRPr="00CD3449">
        <w:rPr>
          <w:rFonts w:ascii="Arial" w:hAnsi="Arial" w:cs="Arial"/>
          <w:szCs w:val="24"/>
        </w:rPr>
        <w:t>behaviour</w:t>
      </w:r>
      <w:r w:rsidRPr="00CD3449">
        <w:rPr>
          <w:rFonts w:ascii="Arial" w:hAnsi="Arial" w:cs="Arial"/>
          <w:szCs w:val="24"/>
        </w:rPr>
        <w:t xml:space="preserve">. The P5 mixture (5% pumice replacement) reached setting times of 150/230 </w:t>
      </w:r>
    </w:p>
    <w:p w14:paraId="0516B27F" w14:textId="79BA33F1" w:rsidR="006F412A" w:rsidRPr="006F412A" w:rsidRDefault="00CD3449"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r w:rsidRPr="00CD3449">
        <w:rPr>
          <w:rFonts w:ascii="Arial" w:hAnsi="Arial" w:cs="Arial"/>
          <w:szCs w:val="24"/>
        </w:rPr>
        <w:t>minutes, while the P10 mixture (10% replacement) demonstrated even shorter values of 145/175 minutes. This marked reduction in setting time suggests that finely ground pumice particles enhance early hydration kinetics, likely by increasing nucleation sites and accelerating dissolution processes in alumina-rich systems.</w:t>
      </w:r>
      <w:r w:rsidR="006F412A" w:rsidRPr="006F412A">
        <w:rPr>
          <w:rFonts w:ascii="Arial" w:hAnsi="Arial" w:cs="Arial"/>
          <w:szCs w:val="24"/>
        </w:rPr>
        <w:t xml:space="preserve"> </w:t>
      </w:r>
      <w:r w:rsidR="006F412A" w:rsidRPr="006F412A">
        <w:rPr>
          <w:rFonts w:ascii="Arial" w:hAnsi="Arial" w:cs="Arial"/>
          <w:szCs w:val="24"/>
        </w:rPr>
        <w:t xml:space="preserve">Compressive strength results further highlight the beneficial effect of pumice substitution, particularly at early ages. At 6 hours, the reference mixture achieved a strength of 35 MPa, whereas the P5 and P10 mixtures reached </w:t>
      </w:r>
    </w:p>
    <w:p w14:paraId="52CA6D1B" w14:textId="77777777" w:rsidR="006F412A" w:rsidRPr="006F412A" w:rsidRDefault="006F412A"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r w:rsidRPr="006F412A">
        <w:rPr>
          <w:rFonts w:ascii="Arial" w:hAnsi="Arial" w:cs="Arial"/>
          <w:szCs w:val="24"/>
        </w:rPr>
        <w:t>48.8 MPa and 47 MPa, respectively, corresponding to approximately 39% and 34% improvement compared to the reference system. This significant enhancement demonstrates that mechanically activated pumice does not behave merely as an inert filler but actively participates in hydration reactions contributing to early microstructural development.</w:t>
      </w:r>
    </w:p>
    <w:p w14:paraId="254E1AE5" w14:textId="77777777" w:rsidR="006F412A" w:rsidRDefault="006F412A"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p w14:paraId="35A79BA4" w14:textId="77777777" w:rsidR="00DA0EDD" w:rsidRDefault="00DA0EDD" w:rsidP="00DA0EDD">
      <w:pPr>
        <w:pStyle w:val="ResimYazs"/>
        <w:jc w:val="left"/>
      </w:pPr>
    </w:p>
    <w:p w14:paraId="3A720EFA" w14:textId="77777777" w:rsidR="003D54AF" w:rsidRDefault="003D54AF" w:rsidP="003D54AF"/>
    <w:p w14:paraId="7B955111" w14:textId="77777777" w:rsidR="003D54AF" w:rsidRPr="003D54AF" w:rsidRDefault="003D54AF" w:rsidP="003D54AF"/>
    <w:p w14:paraId="06395F28" w14:textId="1B0BFAF7" w:rsidR="006F412A" w:rsidRDefault="006F412A" w:rsidP="00DA0EDD">
      <w:pPr>
        <w:pStyle w:val="ResimYazs"/>
        <w:jc w:val="left"/>
        <w:rPr>
          <w:szCs w:val="24"/>
        </w:rPr>
      </w:pPr>
      <w:r>
        <w:lastRenderedPageBreak/>
        <w:t xml:space="preserve">Table </w:t>
      </w:r>
      <w:r>
        <w:fldChar w:fldCharType="begin"/>
      </w:r>
      <w:r>
        <w:instrText xml:space="preserve"> SEQ Tablo \* ARABIC </w:instrText>
      </w:r>
      <w:r>
        <w:fldChar w:fldCharType="separate"/>
      </w:r>
      <w:r w:rsidR="002C3E65">
        <w:rPr>
          <w:noProof/>
        </w:rPr>
        <w:t>3</w:t>
      </w:r>
      <w:r>
        <w:fldChar w:fldCharType="end"/>
      </w:r>
      <w:r w:rsidR="008B2852">
        <w:t xml:space="preserve">. </w:t>
      </w:r>
      <w:r w:rsidR="00DA0EDD" w:rsidRPr="00DA0EDD">
        <w:t>Setting time and compressive strength results of reference and pumice-substituted CAC mixtures</w:t>
      </w:r>
    </w:p>
    <w:p w14:paraId="53C07E70" w14:textId="77777777" w:rsidR="006F412A" w:rsidRDefault="006F412A"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p w14:paraId="3AC87CC6" w14:textId="62042306" w:rsidR="006F412A" w:rsidRDefault="006F412A"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r w:rsidRPr="006F412A">
        <w:rPr>
          <w:rFonts w:ascii="Arial" w:hAnsi="Arial" w:cs="Arial"/>
          <w:szCs w:val="24"/>
        </w:rPr>
        <w:t>At 24 hours, the reference mixture reached 70 MPa, while the P5 and P10 mixtures achieved 67 MPa and 61 MPa, respectively. Although a moderate reduction in 24-hour strength is observed with increasing pumice content, the values remain within a high-performance range suitable for practical applications.</w:t>
      </w:r>
    </w:p>
    <w:p w14:paraId="51E1EAA3" w14:textId="77777777" w:rsidR="00FA10C3" w:rsidRPr="006F412A" w:rsidRDefault="00FA10C3" w:rsidP="006F412A">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p w14:paraId="1BFA9E9D" w14:textId="54B03FA1" w:rsidR="00CD3449" w:rsidRDefault="002C3E65" w:rsidP="002C3E65">
      <w:pPr>
        <w:pStyle w:val="ResimYazs"/>
        <w:rPr>
          <w:szCs w:val="24"/>
        </w:rPr>
      </w:pPr>
      <w:r>
        <w:t xml:space="preserve">Table </w:t>
      </w:r>
      <w:r>
        <w:fldChar w:fldCharType="begin"/>
      </w:r>
      <w:r>
        <w:instrText xml:space="preserve"> SEQ Tablo \* ARABIC </w:instrText>
      </w:r>
      <w:r>
        <w:fldChar w:fldCharType="separate"/>
      </w:r>
      <w:r>
        <w:rPr>
          <w:noProof/>
        </w:rPr>
        <w:t>4</w:t>
      </w:r>
      <w:r>
        <w:fldChar w:fldCharType="end"/>
      </w:r>
      <w:r>
        <w:t>.</w:t>
      </w:r>
      <w:r w:rsidR="00FA10C3" w:rsidRPr="00FA10C3">
        <w:rPr>
          <w:rFonts w:ascii="Times New Roman" w:hAnsi="Times New Roman" w:cs="Times New Roman"/>
          <w:bCs w:val="0"/>
          <w:color w:val="auto"/>
          <w:sz w:val="24"/>
          <w:szCs w:val="20"/>
        </w:rPr>
        <w:t xml:space="preserve"> </w:t>
      </w:r>
      <w:r w:rsidR="00FA10C3" w:rsidRPr="00FA10C3">
        <w:t xml:space="preserve">Effect of partial clinker replacement on setting </w:t>
      </w:r>
      <w:proofErr w:type="spellStart"/>
      <w:r w:rsidR="00FA10C3" w:rsidRPr="00FA10C3">
        <w:t>behavior</w:t>
      </w:r>
      <w:proofErr w:type="spellEnd"/>
      <w:r w:rsidR="00FA10C3" w:rsidRPr="00FA10C3">
        <w:t xml:space="preserve"> and early-age strength of CAC-based self-levelling underlayment (SLU) formulations</w:t>
      </w:r>
    </w:p>
    <w:tbl>
      <w:tblPr>
        <w:tblStyle w:val="TabloKlavuzu"/>
        <w:tblW w:w="9592" w:type="dxa"/>
        <w:tblInd w:w="-1184" w:type="dxa"/>
        <w:tblLook w:val="04A0" w:firstRow="1" w:lastRow="0" w:firstColumn="1" w:lastColumn="0" w:noHBand="0" w:noVBand="1"/>
      </w:tblPr>
      <w:tblGrid>
        <w:gridCol w:w="2330"/>
        <w:gridCol w:w="2330"/>
        <w:gridCol w:w="2466"/>
        <w:gridCol w:w="2466"/>
      </w:tblGrid>
      <w:tr w:rsidR="000F25AA" w:rsidRPr="005F2363" w14:paraId="70F2C408" w14:textId="0D9107A3" w:rsidTr="000F25AA">
        <w:trPr>
          <w:trHeight w:val="573"/>
        </w:trPr>
        <w:tc>
          <w:tcPr>
            <w:tcW w:w="2330" w:type="dxa"/>
          </w:tcPr>
          <w:p w14:paraId="2B20F3A6" w14:textId="34CD54DD"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Pr>
                <w:rFonts w:ascii="Arial" w:hAnsi="Arial" w:cs="Arial"/>
                <w:b/>
                <w:bCs/>
                <w:i/>
                <w:iCs/>
                <w:color w:val="000000" w:themeColor="text1"/>
                <w:szCs w:val="24"/>
              </w:rPr>
              <w:t>Mix ID</w:t>
            </w:r>
          </w:p>
        </w:tc>
        <w:tc>
          <w:tcPr>
            <w:tcW w:w="2330" w:type="dxa"/>
          </w:tcPr>
          <w:p w14:paraId="2A2FE02D" w14:textId="3F6DC3CF"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Pr>
                <w:rFonts w:ascii="Arial" w:hAnsi="Arial" w:cs="Arial"/>
                <w:b/>
                <w:bCs/>
                <w:i/>
                <w:iCs/>
                <w:color w:val="000000" w:themeColor="text1"/>
                <w:szCs w:val="24"/>
              </w:rPr>
              <w:t>Setting time(min.)</w:t>
            </w:r>
          </w:p>
        </w:tc>
        <w:tc>
          <w:tcPr>
            <w:tcW w:w="2466" w:type="dxa"/>
          </w:tcPr>
          <w:p w14:paraId="09B7F305" w14:textId="33807ECD"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color w:val="000000" w:themeColor="text1"/>
                <w:szCs w:val="24"/>
              </w:rPr>
            </w:pPr>
            <w:r>
              <w:rPr>
                <w:rFonts w:ascii="Arial" w:hAnsi="Arial" w:cs="Arial"/>
                <w:b/>
                <w:bCs/>
                <w:i/>
                <w:iCs/>
                <w:szCs w:val="24"/>
              </w:rPr>
              <w:t>3</w:t>
            </w:r>
            <w:r w:rsidRPr="00D4779F">
              <w:rPr>
                <w:rFonts w:ascii="Arial" w:hAnsi="Arial" w:cs="Arial"/>
                <w:b/>
                <w:bCs/>
                <w:i/>
                <w:iCs/>
                <w:szCs w:val="24"/>
              </w:rPr>
              <w:t>h Compressive Strength (MPa)</w:t>
            </w:r>
          </w:p>
        </w:tc>
        <w:tc>
          <w:tcPr>
            <w:tcW w:w="2466" w:type="dxa"/>
          </w:tcPr>
          <w:p w14:paraId="0FDEBB6E" w14:textId="053CAB86" w:rsidR="000F25AA"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b/>
                <w:bCs/>
                <w:i/>
                <w:iCs/>
                <w:szCs w:val="24"/>
              </w:rPr>
            </w:pPr>
            <w:r w:rsidRPr="00D4779F">
              <w:rPr>
                <w:rFonts w:ascii="Arial" w:hAnsi="Arial" w:cs="Arial"/>
                <w:b/>
                <w:bCs/>
                <w:i/>
                <w:iCs/>
                <w:szCs w:val="24"/>
              </w:rPr>
              <w:t>6h Compressive Strength (MPa)</w:t>
            </w:r>
          </w:p>
        </w:tc>
      </w:tr>
      <w:tr w:rsidR="000F25AA" w:rsidRPr="005F2363" w14:paraId="53FFF0E6" w14:textId="1F25A8B7" w:rsidTr="000F25AA">
        <w:trPr>
          <w:trHeight w:val="281"/>
        </w:trPr>
        <w:tc>
          <w:tcPr>
            <w:tcW w:w="2330" w:type="dxa"/>
          </w:tcPr>
          <w:p w14:paraId="2C57501B" w14:textId="3E349058"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REF.</w:t>
            </w:r>
          </w:p>
        </w:tc>
        <w:tc>
          <w:tcPr>
            <w:tcW w:w="2330" w:type="dxa"/>
          </w:tcPr>
          <w:p w14:paraId="2CA8F68C" w14:textId="3AE7EFFB"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40/50</w:t>
            </w:r>
          </w:p>
        </w:tc>
        <w:tc>
          <w:tcPr>
            <w:tcW w:w="2466" w:type="dxa"/>
          </w:tcPr>
          <w:p w14:paraId="6907316C" w14:textId="026B9A5D"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11.2</w:t>
            </w:r>
          </w:p>
        </w:tc>
        <w:tc>
          <w:tcPr>
            <w:tcW w:w="2466" w:type="dxa"/>
          </w:tcPr>
          <w:p w14:paraId="02C63C91" w14:textId="4050F92E" w:rsidR="000F25AA" w:rsidRDefault="00645CC4"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16.2</w:t>
            </w:r>
          </w:p>
        </w:tc>
      </w:tr>
      <w:tr w:rsidR="000F25AA" w:rsidRPr="005F2363" w14:paraId="7C20E775" w14:textId="292CAA24" w:rsidTr="000F25AA">
        <w:trPr>
          <w:trHeight w:val="281"/>
        </w:trPr>
        <w:tc>
          <w:tcPr>
            <w:tcW w:w="2330" w:type="dxa"/>
          </w:tcPr>
          <w:p w14:paraId="1CC97A47" w14:textId="633C3205"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P5</w:t>
            </w:r>
          </w:p>
        </w:tc>
        <w:tc>
          <w:tcPr>
            <w:tcW w:w="2330" w:type="dxa"/>
          </w:tcPr>
          <w:p w14:paraId="7864BDA5" w14:textId="0E16AC89"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30/50</w:t>
            </w:r>
          </w:p>
        </w:tc>
        <w:tc>
          <w:tcPr>
            <w:tcW w:w="2466" w:type="dxa"/>
          </w:tcPr>
          <w:p w14:paraId="4BCC6A90" w14:textId="167C9070"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10.6</w:t>
            </w:r>
          </w:p>
        </w:tc>
        <w:tc>
          <w:tcPr>
            <w:tcW w:w="2466" w:type="dxa"/>
          </w:tcPr>
          <w:p w14:paraId="3187F77A" w14:textId="32CE3565" w:rsidR="000F25AA" w:rsidRDefault="00645CC4"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16</w:t>
            </w:r>
          </w:p>
        </w:tc>
      </w:tr>
      <w:tr w:rsidR="000F25AA" w:rsidRPr="005F2363" w14:paraId="53E34C84" w14:textId="34AE5EA4" w:rsidTr="000F25AA">
        <w:trPr>
          <w:trHeight w:val="291"/>
        </w:trPr>
        <w:tc>
          <w:tcPr>
            <w:tcW w:w="2330" w:type="dxa"/>
          </w:tcPr>
          <w:p w14:paraId="155C68D8" w14:textId="32B1880E"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P10</w:t>
            </w:r>
          </w:p>
        </w:tc>
        <w:tc>
          <w:tcPr>
            <w:tcW w:w="2330" w:type="dxa"/>
          </w:tcPr>
          <w:p w14:paraId="152EEB55" w14:textId="19352539"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35/50</w:t>
            </w:r>
          </w:p>
        </w:tc>
        <w:tc>
          <w:tcPr>
            <w:tcW w:w="2466" w:type="dxa"/>
          </w:tcPr>
          <w:p w14:paraId="4406CC95" w14:textId="405C08DF" w:rsidR="000F25AA" w:rsidRPr="005F2363" w:rsidRDefault="000F25AA"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11.5</w:t>
            </w:r>
          </w:p>
        </w:tc>
        <w:tc>
          <w:tcPr>
            <w:tcW w:w="2466" w:type="dxa"/>
          </w:tcPr>
          <w:p w14:paraId="20719B10" w14:textId="43752D5A" w:rsidR="000F25AA" w:rsidRDefault="00645CC4" w:rsidP="002D22E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color w:val="000000" w:themeColor="text1"/>
                <w:szCs w:val="24"/>
              </w:rPr>
            </w:pPr>
            <w:r>
              <w:rPr>
                <w:rFonts w:ascii="Arial" w:hAnsi="Arial" w:cs="Arial"/>
                <w:color w:val="000000" w:themeColor="text1"/>
                <w:szCs w:val="24"/>
              </w:rPr>
              <w:t>15</w:t>
            </w:r>
          </w:p>
        </w:tc>
      </w:tr>
    </w:tbl>
    <w:p w14:paraId="65046540" w14:textId="77777777" w:rsidR="00AA623C" w:rsidRPr="00CD3449" w:rsidRDefault="00AA623C" w:rsidP="00CD344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tbl>
      <w:tblPr>
        <w:tblStyle w:val="TabloKlavuzu"/>
        <w:tblpPr w:leftFromText="141" w:rightFromText="141" w:vertAnchor="page" w:horzAnchor="margin" w:tblpXSpec="center" w:tblpY="2535"/>
        <w:tblW w:w="9844" w:type="dxa"/>
        <w:tblLook w:val="04A0" w:firstRow="1" w:lastRow="0" w:firstColumn="1" w:lastColumn="0" w:noHBand="0" w:noVBand="1"/>
      </w:tblPr>
      <w:tblGrid>
        <w:gridCol w:w="1413"/>
        <w:gridCol w:w="2277"/>
        <w:gridCol w:w="1634"/>
        <w:gridCol w:w="2260"/>
        <w:gridCol w:w="2260"/>
      </w:tblGrid>
      <w:tr w:rsidR="001D4826" w:rsidRPr="00D4779F" w14:paraId="2E509DC4" w14:textId="77777777" w:rsidTr="00872DDF">
        <w:trPr>
          <w:trHeight w:val="252"/>
        </w:trPr>
        <w:tc>
          <w:tcPr>
            <w:tcW w:w="1413" w:type="dxa"/>
          </w:tcPr>
          <w:p w14:paraId="06FE3EA0"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i/>
                <w:iCs/>
                <w:szCs w:val="24"/>
              </w:rPr>
            </w:pPr>
            <w:r w:rsidRPr="00D4779F">
              <w:rPr>
                <w:rFonts w:ascii="Arial" w:hAnsi="Arial" w:cs="Arial"/>
                <w:b/>
                <w:bCs/>
                <w:i/>
                <w:iCs/>
                <w:szCs w:val="24"/>
              </w:rPr>
              <w:t>Mix ID</w:t>
            </w:r>
          </w:p>
        </w:tc>
        <w:tc>
          <w:tcPr>
            <w:tcW w:w="2277" w:type="dxa"/>
          </w:tcPr>
          <w:p w14:paraId="62B5291C"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i/>
                <w:iCs/>
                <w:szCs w:val="24"/>
              </w:rPr>
            </w:pPr>
            <w:r w:rsidRPr="00D4779F">
              <w:rPr>
                <w:rFonts w:ascii="Arial" w:hAnsi="Arial" w:cs="Arial"/>
                <w:b/>
                <w:bCs/>
                <w:i/>
                <w:iCs/>
                <w:szCs w:val="24"/>
              </w:rPr>
              <w:t>Pumice Replacement (%)</w:t>
            </w:r>
          </w:p>
        </w:tc>
        <w:tc>
          <w:tcPr>
            <w:tcW w:w="1634" w:type="dxa"/>
          </w:tcPr>
          <w:p w14:paraId="5AF6FEB9"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i/>
                <w:iCs/>
                <w:szCs w:val="24"/>
              </w:rPr>
            </w:pPr>
            <w:r w:rsidRPr="00D4779F">
              <w:rPr>
                <w:rFonts w:ascii="Arial" w:hAnsi="Arial" w:cs="Arial"/>
                <w:b/>
                <w:bCs/>
                <w:i/>
                <w:iCs/>
                <w:szCs w:val="24"/>
              </w:rPr>
              <w:t>Setting Time (min.)</w:t>
            </w:r>
          </w:p>
        </w:tc>
        <w:tc>
          <w:tcPr>
            <w:tcW w:w="2260" w:type="dxa"/>
          </w:tcPr>
          <w:p w14:paraId="5096DA18"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i/>
                <w:iCs/>
                <w:szCs w:val="24"/>
              </w:rPr>
            </w:pPr>
            <w:r w:rsidRPr="00D4779F">
              <w:rPr>
                <w:rFonts w:ascii="Arial" w:hAnsi="Arial" w:cs="Arial"/>
                <w:b/>
                <w:bCs/>
                <w:i/>
                <w:iCs/>
                <w:szCs w:val="24"/>
              </w:rPr>
              <w:t>6h Compressive Strength (MPa)</w:t>
            </w:r>
          </w:p>
        </w:tc>
        <w:tc>
          <w:tcPr>
            <w:tcW w:w="2260" w:type="dxa"/>
          </w:tcPr>
          <w:p w14:paraId="4639B138"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
                <w:bCs/>
                <w:i/>
                <w:iCs/>
                <w:szCs w:val="24"/>
              </w:rPr>
            </w:pPr>
            <w:r w:rsidRPr="00D4779F">
              <w:rPr>
                <w:rFonts w:ascii="Arial" w:hAnsi="Arial" w:cs="Arial"/>
                <w:b/>
                <w:bCs/>
                <w:i/>
                <w:iCs/>
                <w:szCs w:val="24"/>
              </w:rPr>
              <w:t>24h Compressive Strength (MPa)</w:t>
            </w:r>
          </w:p>
        </w:tc>
      </w:tr>
      <w:tr w:rsidR="001D4826" w:rsidRPr="00D4779F" w14:paraId="224BF625" w14:textId="77777777" w:rsidTr="00872DDF">
        <w:trPr>
          <w:trHeight w:val="116"/>
        </w:trPr>
        <w:tc>
          <w:tcPr>
            <w:tcW w:w="1413" w:type="dxa"/>
          </w:tcPr>
          <w:p w14:paraId="65C13BAC"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REF</w:t>
            </w:r>
          </w:p>
        </w:tc>
        <w:tc>
          <w:tcPr>
            <w:tcW w:w="2277" w:type="dxa"/>
          </w:tcPr>
          <w:p w14:paraId="411B1CA9"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0</w:t>
            </w:r>
          </w:p>
        </w:tc>
        <w:tc>
          <w:tcPr>
            <w:tcW w:w="1634" w:type="dxa"/>
          </w:tcPr>
          <w:p w14:paraId="48275DCE"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260/285</w:t>
            </w:r>
          </w:p>
        </w:tc>
        <w:tc>
          <w:tcPr>
            <w:tcW w:w="2260" w:type="dxa"/>
          </w:tcPr>
          <w:p w14:paraId="29467C95"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35</w:t>
            </w:r>
          </w:p>
        </w:tc>
        <w:tc>
          <w:tcPr>
            <w:tcW w:w="2260" w:type="dxa"/>
          </w:tcPr>
          <w:p w14:paraId="10262451"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70</w:t>
            </w:r>
          </w:p>
        </w:tc>
      </w:tr>
      <w:tr w:rsidR="001D4826" w:rsidRPr="00D4779F" w14:paraId="70443FF8" w14:textId="77777777" w:rsidTr="00872DDF">
        <w:trPr>
          <w:trHeight w:val="110"/>
        </w:trPr>
        <w:tc>
          <w:tcPr>
            <w:tcW w:w="1413" w:type="dxa"/>
          </w:tcPr>
          <w:p w14:paraId="572E9E31"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P5</w:t>
            </w:r>
          </w:p>
        </w:tc>
        <w:tc>
          <w:tcPr>
            <w:tcW w:w="2277" w:type="dxa"/>
          </w:tcPr>
          <w:p w14:paraId="327792D8"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5</w:t>
            </w:r>
          </w:p>
        </w:tc>
        <w:tc>
          <w:tcPr>
            <w:tcW w:w="1634" w:type="dxa"/>
          </w:tcPr>
          <w:p w14:paraId="30494887"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150/230</w:t>
            </w:r>
          </w:p>
        </w:tc>
        <w:tc>
          <w:tcPr>
            <w:tcW w:w="2260" w:type="dxa"/>
          </w:tcPr>
          <w:p w14:paraId="067037A4" w14:textId="7F9F8034"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48</w:t>
            </w:r>
            <w:r w:rsidR="004F5829">
              <w:rPr>
                <w:rFonts w:ascii="Arial" w:hAnsi="Arial" w:cs="Arial"/>
                <w:szCs w:val="24"/>
              </w:rPr>
              <w:t>.</w:t>
            </w:r>
            <w:r w:rsidRPr="00D4779F">
              <w:rPr>
                <w:rFonts w:ascii="Arial" w:hAnsi="Arial" w:cs="Arial"/>
                <w:szCs w:val="24"/>
              </w:rPr>
              <w:t>8</w:t>
            </w:r>
          </w:p>
        </w:tc>
        <w:tc>
          <w:tcPr>
            <w:tcW w:w="2260" w:type="dxa"/>
          </w:tcPr>
          <w:p w14:paraId="1A1344D4"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67</w:t>
            </w:r>
          </w:p>
        </w:tc>
      </w:tr>
      <w:tr w:rsidR="001D4826" w:rsidRPr="00D4779F" w14:paraId="76F96B60" w14:textId="77777777" w:rsidTr="00872DDF">
        <w:trPr>
          <w:trHeight w:val="110"/>
        </w:trPr>
        <w:tc>
          <w:tcPr>
            <w:tcW w:w="1413" w:type="dxa"/>
          </w:tcPr>
          <w:p w14:paraId="05570DD3"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P10</w:t>
            </w:r>
          </w:p>
        </w:tc>
        <w:tc>
          <w:tcPr>
            <w:tcW w:w="2277" w:type="dxa"/>
          </w:tcPr>
          <w:p w14:paraId="77BA0D86"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10</w:t>
            </w:r>
          </w:p>
        </w:tc>
        <w:tc>
          <w:tcPr>
            <w:tcW w:w="1634" w:type="dxa"/>
          </w:tcPr>
          <w:p w14:paraId="37A5BE86"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145/175</w:t>
            </w:r>
          </w:p>
        </w:tc>
        <w:tc>
          <w:tcPr>
            <w:tcW w:w="2260" w:type="dxa"/>
          </w:tcPr>
          <w:p w14:paraId="6C8AE36F"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47</w:t>
            </w:r>
          </w:p>
        </w:tc>
        <w:tc>
          <w:tcPr>
            <w:tcW w:w="2260" w:type="dxa"/>
          </w:tcPr>
          <w:p w14:paraId="2744017A" w14:textId="77777777" w:rsidR="001D4826" w:rsidRPr="00D4779F" w:rsidRDefault="001D4826" w:rsidP="00872DDF">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center"/>
              <w:rPr>
                <w:rFonts w:ascii="Arial" w:hAnsi="Arial" w:cs="Arial"/>
                <w:szCs w:val="24"/>
              </w:rPr>
            </w:pPr>
            <w:r w:rsidRPr="00D4779F">
              <w:rPr>
                <w:rFonts w:ascii="Arial" w:hAnsi="Arial" w:cs="Arial"/>
                <w:szCs w:val="24"/>
              </w:rPr>
              <w:t>61</w:t>
            </w:r>
          </w:p>
        </w:tc>
      </w:tr>
    </w:tbl>
    <w:p w14:paraId="46DEBAC3" w14:textId="77777777" w:rsidR="001D4826" w:rsidRDefault="001D4826" w:rsidP="00CD3449">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p w14:paraId="6CF66557" w14:textId="2DBF08C8" w:rsidR="008823D9" w:rsidRPr="00AA623C" w:rsidRDefault="00CD3449"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r w:rsidRPr="00CD3449">
        <w:rPr>
          <w:rFonts w:ascii="Arial" w:hAnsi="Arial" w:cs="Arial"/>
          <w:szCs w:val="24"/>
        </w:rPr>
        <w:t>The performance of pumice-substituted cement was additionally evaluated in self-</w:t>
      </w:r>
      <w:r w:rsidR="00157ECA" w:rsidRPr="00CD3449">
        <w:rPr>
          <w:rFonts w:ascii="Arial" w:hAnsi="Arial" w:cs="Arial"/>
          <w:szCs w:val="24"/>
        </w:rPr>
        <w:t>levelling</w:t>
      </w:r>
      <w:r w:rsidRPr="00CD3449">
        <w:rPr>
          <w:rFonts w:ascii="Arial" w:hAnsi="Arial" w:cs="Arial"/>
          <w:szCs w:val="24"/>
        </w:rPr>
        <w:t xml:space="preserve"> mortar formulations. The incorporation of activated pumice allowed a reduction in CAC content within the application recipe while maintaining high early strength and appropriate setting </w:t>
      </w:r>
      <w:r w:rsidR="003468B6" w:rsidRPr="00CD3449">
        <w:rPr>
          <w:rFonts w:ascii="Arial" w:hAnsi="Arial" w:cs="Arial"/>
          <w:szCs w:val="24"/>
        </w:rPr>
        <w:t>behaviour</w:t>
      </w:r>
      <w:r w:rsidRPr="00CD3449">
        <w:rPr>
          <w:rFonts w:ascii="Arial" w:hAnsi="Arial" w:cs="Arial"/>
          <w:szCs w:val="24"/>
        </w:rPr>
        <w:t>. Consequently, clinker consumption in the final formulation was reduced, leading to a more sustainable binder design with lower embodied carbon. These findings demonstrate that clinker reduction in CAC systems can be successfully implemented not only at laboratory paste level but also in practical self-</w:t>
      </w:r>
      <w:r w:rsidR="00157ECA" w:rsidRPr="00CD3449">
        <w:rPr>
          <w:rFonts w:ascii="Arial" w:hAnsi="Arial" w:cs="Arial"/>
          <w:szCs w:val="24"/>
        </w:rPr>
        <w:t>levelling</w:t>
      </w:r>
      <w:r w:rsidRPr="00CD3449">
        <w:rPr>
          <w:rFonts w:ascii="Arial" w:hAnsi="Arial" w:cs="Arial"/>
          <w:szCs w:val="24"/>
        </w:rPr>
        <w:t xml:space="preserve"> applications.</w:t>
      </w:r>
    </w:p>
    <w:p w14:paraId="21D52AC2" w14:textId="77777777" w:rsidR="008823D9" w:rsidRPr="00274101" w:rsidRDefault="008823D9"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highlight w:val="yellow"/>
        </w:rPr>
      </w:pPr>
    </w:p>
    <w:p w14:paraId="76DBA0B1" w14:textId="77777777" w:rsidR="008823D9" w:rsidRPr="00274101" w:rsidRDefault="008823D9" w:rsidP="00055962">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highlight w:val="yellow"/>
        </w:rPr>
      </w:pPr>
    </w:p>
    <w:p w14:paraId="43306FF6" w14:textId="77777777" w:rsidR="00416527" w:rsidRPr="00274101" w:rsidRDefault="00416527">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szCs w:val="24"/>
        </w:rPr>
      </w:pPr>
    </w:p>
    <w:p w14:paraId="34440988" w14:textId="628A322C" w:rsidR="001D1CBD" w:rsidRPr="00274101" w:rsidRDefault="00D17602" w:rsidP="00F7640D">
      <w:pPr>
        <w:pStyle w:val="Balk1"/>
      </w:pPr>
      <w:r w:rsidRPr="00274101">
        <w:t>REFERENCES</w:t>
      </w:r>
    </w:p>
    <w:p w14:paraId="51A52F83" w14:textId="3A3371E5" w:rsidR="00A50BFD" w:rsidRDefault="00A50BFD" w:rsidP="00BF3F8D">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Cs/>
          <w:szCs w:val="24"/>
        </w:rPr>
      </w:pPr>
    </w:p>
    <w:p w14:paraId="790FA94E" w14:textId="77777777" w:rsidR="00DA3B0F" w:rsidRDefault="00DA3B0F" w:rsidP="00BF3F8D">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bCs/>
          <w:szCs w:val="24"/>
        </w:rPr>
      </w:pPr>
    </w:p>
    <w:p w14:paraId="307DB64D" w14:textId="15CA9B89" w:rsidR="00277C68" w:rsidRPr="00277C68" w:rsidRDefault="004524DC" w:rsidP="00277C68">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lang w:val="tr-TR"/>
        </w:rPr>
      </w:pPr>
      <w:r>
        <w:rPr>
          <w:rFonts w:ascii="Arial" w:hAnsi="Arial" w:cs="Arial"/>
          <w:lang w:val="tr-TR"/>
        </w:rPr>
        <w:t xml:space="preserve">[1] </w:t>
      </w:r>
      <w:r w:rsidR="00277C68" w:rsidRPr="00277C68">
        <w:rPr>
          <w:rFonts w:ascii="Arial" w:hAnsi="Arial" w:cs="Arial"/>
          <w:lang w:val="tr-TR"/>
        </w:rPr>
        <w:t xml:space="preserve">Bentsen, S. </w:t>
      </w:r>
      <w:proofErr w:type="spellStart"/>
      <w:r w:rsidR="00277C68" w:rsidRPr="00277C68">
        <w:rPr>
          <w:rFonts w:ascii="Arial" w:hAnsi="Arial" w:cs="Arial"/>
          <w:lang w:val="tr-TR"/>
        </w:rPr>
        <w:t>Effect</w:t>
      </w:r>
      <w:proofErr w:type="spellEnd"/>
      <w:r w:rsidR="00277C68" w:rsidRPr="00277C68">
        <w:rPr>
          <w:rFonts w:ascii="Arial" w:hAnsi="Arial" w:cs="Arial"/>
          <w:lang w:val="tr-TR"/>
        </w:rPr>
        <w:t xml:space="preserve"> of </w:t>
      </w:r>
      <w:proofErr w:type="spellStart"/>
      <w:r w:rsidR="00277C68" w:rsidRPr="00277C68">
        <w:rPr>
          <w:rFonts w:ascii="Arial" w:hAnsi="Arial" w:cs="Arial"/>
          <w:lang w:val="tr-TR"/>
        </w:rPr>
        <w:t>microsilica</w:t>
      </w:r>
      <w:proofErr w:type="spellEnd"/>
      <w:r w:rsidR="00277C68" w:rsidRPr="00277C68">
        <w:rPr>
          <w:rFonts w:ascii="Arial" w:hAnsi="Arial" w:cs="Arial"/>
          <w:lang w:val="tr-TR"/>
        </w:rPr>
        <w:t xml:space="preserve"> on </w:t>
      </w:r>
      <w:proofErr w:type="spellStart"/>
      <w:r w:rsidR="00277C68" w:rsidRPr="00277C68">
        <w:rPr>
          <w:rFonts w:ascii="Arial" w:hAnsi="Arial" w:cs="Arial"/>
          <w:lang w:val="tr-TR"/>
        </w:rPr>
        <w:t>conversion</w:t>
      </w:r>
      <w:proofErr w:type="spellEnd"/>
      <w:r w:rsidR="00277C68" w:rsidRPr="00277C68">
        <w:rPr>
          <w:rFonts w:ascii="Arial" w:hAnsi="Arial" w:cs="Arial"/>
          <w:lang w:val="tr-TR"/>
        </w:rPr>
        <w:t xml:space="preserve"> of </w:t>
      </w:r>
      <w:proofErr w:type="spellStart"/>
      <w:r w:rsidR="00277C68" w:rsidRPr="00277C68">
        <w:rPr>
          <w:rFonts w:ascii="Arial" w:hAnsi="Arial" w:cs="Arial"/>
          <w:lang w:val="tr-TR"/>
        </w:rPr>
        <w:t>high</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alumina</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cement</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In</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Calcium</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Aluminate</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Cements</w:t>
      </w:r>
      <w:proofErr w:type="spellEnd"/>
      <w:r w:rsidR="00277C68" w:rsidRPr="00277C68">
        <w:rPr>
          <w:rFonts w:ascii="Arial" w:hAnsi="Arial" w:cs="Arial"/>
          <w:lang w:val="tr-TR"/>
        </w:rPr>
        <w:t xml:space="preserve">; Chapman </w:t>
      </w:r>
      <w:proofErr w:type="spellStart"/>
      <w:r w:rsidR="00277C68" w:rsidRPr="00277C68">
        <w:rPr>
          <w:rFonts w:ascii="Arial" w:hAnsi="Arial" w:cs="Arial"/>
          <w:lang w:val="tr-TR"/>
        </w:rPr>
        <w:t>and</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Hall</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London</w:t>
      </w:r>
      <w:proofErr w:type="spellEnd"/>
      <w:r w:rsidR="00277C68" w:rsidRPr="00277C68">
        <w:rPr>
          <w:rFonts w:ascii="Arial" w:hAnsi="Arial" w:cs="Arial"/>
          <w:lang w:val="tr-TR"/>
        </w:rPr>
        <w:t>,</w:t>
      </w:r>
    </w:p>
    <w:p w14:paraId="61C7796B" w14:textId="77777777" w:rsidR="00277C68" w:rsidRDefault="00277C68" w:rsidP="00277C68">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lang w:val="tr-TR"/>
        </w:rPr>
      </w:pPr>
      <w:r w:rsidRPr="00277C68">
        <w:rPr>
          <w:rFonts w:ascii="Arial" w:hAnsi="Arial" w:cs="Arial"/>
          <w:lang w:val="tr-TR"/>
        </w:rPr>
        <w:t>UK, 1990; p. 294.</w:t>
      </w:r>
    </w:p>
    <w:p w14:paraId="3D4783B6" w14:textId="77777777" w:rsidR="004524DC" w:rsidRPr="00277C68" w:rsidRDefault="004524DC" w:rsidP="00277C68">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lang w:val="tr-TR"/>
        </w:rPr>
      </w:pPr>
    </w:p>
    <w:p w14:paraId="5130421E" w14:textId="5B2B5772" w:rsidR="00DA3B0F" w:rsidRPr="004524DC" w:rsidRDefault="004524DC" w:rsidP="00BF3F8D">
      <w:pPr>
        <w:pStyle w:val="Legal1"/>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rPr>
          <w:rFonts w:ascii="Arial" w:hAnsi="Arial" w:cs="Arial"/>
          <w:lang w:val="tr-TR"/>
        </w:rPr>
      </w:pPr>
      <w:r>
        <w:rPr>
          <w:rFonts w:ascii="Arial" w:hAnsi="Arial" w:cs="Arial"/>
          <w:lang w:val="tr-TR"/>
        </w:rPr>
        <w:t xml:space="preserve">[2] </w:t>
      </w:r>
      <w:r w:rsidR="00277C68" w:rsidRPr="00277C68">
        <w:rPr>
          <w:rFonts w:ascii="Arial" w:hAnsi="Arial" w:cs="Arial"/>
          <w:lang w:val="tr-TR"/>
        </w:rPr>
        <w:t xml:space="preserve">22. Parker, K.M. </w:t>
      </w:r>
      <w:proofErr w:type="spellStart"/>
      <w:r w:rsidR="00277C68" w:rsidRPr="00277C68">
        <w:rPr>
          <w:rFonts w:ascii="Arial" w:hAnsi="Arial" w:cs="Arial"/>
          <w:lang w:val="tr-TR"/>
        </w:rPr>
        <w:t>Refractory</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calcium</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aluminate</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cements</w:t>
      </w:r>
      <w:proofErr w:type="spellEnd"/>
      <w:r w:rsidR="00277C68" w:rsidRPr="00277C68">
        <w:rPr>
          <w:rFonts w:ascii="Arial" w:hAnsi="Arial" w:cs="Arial"/>
          <w:lang w:val="tr-TR"/>
        </w:rPr>
        <w:t xml:space="preserve">. Trans. </w:t>
      </w:r>
      <w:proofErr w:type="spellStart"/>
      <w:r w:rsidR="00277C68" w:rsidRPr="00277C68">
        <w:rPr>
          <w:rFonts w:ascii="Arial" w:hAnsi="Arial" w:cs="Arial"/>
          <w:lang w:val="tr-TR"/>
        </w:rPr>
        <w:t>Br</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Ceram</w:t>
      </w:r>
      <w:proofErr w:type="spellEnd"/>
      <w:r w:rsidR="00277C68" w:rsidRPr="00277C68">
        <w:rPr>
          <w:rFonts w:ascii="Arial" w:hAnsi="Arial" w:cs="Arial"/>
          <w:lang w:val="tr-TR"/>
        </w:rPr>
        <w:t xml:space="preserve">. </w:t>
      </w:r>
      <w:proofErr w:type="spellStart"/>
      <w:r w:rsidR="00277C68" w:rsidRPr="00277C68">
        <w:rPr>
          <w:rFonts w:ascii="Arial" w:hAnsi="Arial" w:cs="Arial"/>
          <w:lang w:val="tr-TR"/>
        </w:rPr>
        <w:t>Soc</w:t>
      </w:r>
      <w:proofErr w:type="spellEnd"/>
      <w:r w:rsidR="00277C68" w:rsidRPr="00277C68">
        <w:rPr>
          <w:rFonts w:ascii="Arial" w:hAnsi="Arial" w:cs="Arial"/>
          <w:lang w:val="tr-TR"/>
        </w:rPr>
        <w:t>. 1982,82, 35–42</w:t>
      </w:r>
    </w:p>
    <w:sectPr w:rsidR="00DA3B0F" w:rsidRPr="004524DC" w:rsidSect="00F7640D">
      <w:footerReference w:type="even" r:id="rId9"/>
      <w:footerReference w:type="default" r:id="rId10"/>
      <w:headerReference w:type="first" r:id="rId11"/>
      <w:footerReference w:type="first" r:id="rId12"/>
      <w:endnotePr>
        <w:numFmt w:val="decimal"/>
      </w:endnotePr>
      <w:pgSz w:w="11905" w:h="16837" w:code="9"/>
      <w:pgMar w:top="1699" w:right="1699" w:bottom="1699" w:left="1699" w:header="720" w:footer="720" w:gutter="57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A96D" w14:textId="77777777" w:rsidR="00FC0CFC" w:rsidRPr="00274101" w:rsidRDefault="00FC0CFC">
      <w:r w:rsidRPr="00274101">
        <w:separator/>
      </w:r>
    </w:p>
  </w:endnote>
  <w:endnote w:type="continuationSeparator" w:id="0">
    <w:p w14:paraId="2FBF30C8" w14:textId="77777777" w:rsidR="00FC0CFC" w:rsidRPr="00274101" w:rsidRDefault="00FC0CFC">
      <w:r w:rsidRPr="00274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A2"/>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A28F" w14:textId="77777777" w:rsidR="00E0465F" w:rsidRPr="00274101" w:rsidRDefault="00E0465F" w:rsidP="00E81735">
    <w:pPr>
      <w:pStyle w:val="AltBilgi"/>
      <w:framePr w:wrap="none" w:vAnchor="text" w:hAnchor="margin" w:xAlign="right" w:y="1"/>
      <w:rPr>
        <w:rStyle w:val="SayfaNumaras"/>
      </w:rPr>
    </w:pPr>
    <w:r w:rsidRPr="00274101">
      <w:rPr>
        <w:rStyle w:val="SayfaNumaras"/>
      </w:rPr>
      <w:fldChar w:fldCharType="begin"/>
    </w:r>
    <w:r w:rsidRPr="00274101">
      <w:rPr>
        <w:rStyle w:val="SayfaNumaras"/>
      </w:rPr>
      <w:instrText xml:space="preserve">PAGE  </w:instrText>
    </w:r>
    <w:r w:rsidRPr="00274101">
      <w:rPr>
        <w:rStyle w:val="SayfaNumaras"/>
      </w:rPr>
      <w:fldChar w:fldCharType="end"/>
    </w:r>
  </w:p>
  <w:p w14:paraId="48E5A0B7" w14:textId="77777777" w:rsidR="00E0465F" w:rsidRPr="00274101" w:rsidRDefault="00E0465F" w:rsidP="00E0465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0C5B" w14:textId="77777777" w:rsidR="00E0465F" w:rsidRPr="00274101" w:rsidRDefault="00E0465F" w:rsidP="00E81735">
    <w:pPr>
      <w:pStyle w:val="AltBilgi"/>
      <w:framePr w:wrap="none" w:vAnchor="text" w:hAnchor="margin" w:xAlign="right" w:y="1"/>
      <w:rPr>
        <w:rStyle w:val="SayfaNumaras"/>
        <w:rFonts w:ascii="Arial" w:hAnsi="Arial" w:cs="Arial"/>
      </w:rPr>
    </w:pPr>
    <w:r w:rsidRPr="00274101">
      <w:rPr>
        <w:rStyle w:val="SayfaNumaras"/>
        <w:rFonts w:ascii="Arial" w:hAnsi="Arial" w:cs="Arial"/>
      </w:rPr>
      <w:fldChar w:fldCharType="begin"/>
    </w:r>
    <w:r w:rsidRPr="00274101">
      <w:rPr>
        <w:rStyle w:val="SayfaNumaras"/>
        <w:rFonts w:ascii="Arial" w:hAnsi="Arial" w:cs="Arial"/>
      </w:rPr>
      <w:instrText xml:space="preserve">PAGE  </w:instrText>
    </w:r>
    <w:r w:rsidRPr="00274101">
      <w:rPr>
        <w:rStyle w:val="SayfaNumaras"/>
        <w:rFonts w:ascii="Arial" w:hAnsi="Arial" w:cs="Arial"/>
      </w:rPr>
      <w:fldChar w:fldCharType="separate"/>
    </w:r>
    <w:r w:rsidRPr="00274101">
      <w:rPr>
        <w:rStyle w:val="SayfaNumaras"/>
        <w:rFonts w:ascii="Arial" w:hAnsi="Arial" w:cs="Arial"/>
      </w:rPr>
      <w:t>3</w:t>
    </w:r>
    <w:r w:rsidRPr="00274101">
      <w:rPr>
        <w:rStyle w:val="SayfaNumaras"/>
        <w:rFonts w:ascii="Arial" w:hAnsi="Arial" w:cs="Arial"/>
      </w:rPr>
      <w:fldChar w:fldCharType="end"/>
    </w:r>
  </w:p>
  <w:p w14:paraId="1885F293" w14:textId="77777777" w:rsidR="00E0465F" w:rsidRPr="00274101" w:rsidRDefault="00E0465F" w:rsidP="00E0465F">
    <w:pPr>
      <w:pStyle w:val="AltBilgi"/>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857B" w14:textId="77777777" w:rsidR="007351DA" w:rsidRPr="00274101" w:rsidRDefault="007351DA" w:rsidP="00E81735">
    <w:pPr>
      <w:pStyle w:val="AltBilgi"/>
      <w:framePr w:wrap="none" w:vAnchor="text" w:hAnchor="margin" w:xAlign="right" w:y="1"/>
      <w:rPr>
        <w:rStyle w:val="SayfaNumaras"/>
      </w:rPr>
    </w:pPr>
    <w:r w:rsidRPr="00274101">
      <w:rPr>
        <w:rStyle w:val="SayfaNumaras"/>
      </w:rPr>
      <w:fldChar w:fldCharType="begin"/>
    </w:r>
    <w:r w:rsidRPr="00274101">
      <w:rPr>
        <w:rStyle w:val="SayfaNumaras"/>
      </w:rPr>
      <w:instrText xml:space="preserve">PAGE  </w:instrText>
    </w:r>
    <w:r w:rsidRPr="00274101">
      <w:rPr>
        <w:rStyle w:val="SayfaNumaras"/>
      </w:rPr>
      <w:fldChar w:fldCharType="separate"/>
    </w:r>
    <w:r w:rsidR="00E0465F" w:rsidRPr="00274101">
      <w:rPr>
        <w:rStyle w:val="SayfaNumaras"/>
      </w:rPr>
      <w:t>1</w:t>
    </w:r>
    <w:r w:rsidRPr="00274101">
      <w:rPr>
        <w:rStyle w:val="SayfaNumaras"/>
      </w:rPr>
      <w:fldChar w:fldCharType="end"/>
    </w:r>
  </w:p>
  <w:p w14:paraId="6210ACEE" w14:textId="3F34C283" w:rsidR="007351DA" w:rsidRPr="00274101" w:rsidRDefault="006447FE" w:rsidP="007351DA">
    <w:pPr>
      <w:pStyle w:val="AltBilgi"/>
      <w:ind w:right="360"/>
      <w:rPr>
        <w:rFonts w:ascii="Arial" w:hAnsi="Arial" w:cs="Arial"/>
      </w:rPr>
    </w:pPr>
    <w:r w:rsidRPr="00274101">
      <w:rPr>
        <w:rFonts w:ascii="Arial" w:hAnsi="Arial" w:cs="Arial"/>
        <w:i/>
      </w:rPr>
      <w:t>b.polat@cimsa.com.tr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A2F0" w14:textId="77777777" w:rsidR="00FC0CFC" w:rsidRPr="00274101" w:rsidRDefault="00FC0CFC">
      <w:r w:rsidRPr="00274101">
        <w:separator/>
      </w:r>
    </w:p>
  </w:footnote>
  <w:footnote w:type="continuationSeparator" w:id="0">
    <w:p w14:paraId="02EC81F1" w14:textId="77777777" w:rsidR="00FC0CFC" w:rsidRPr="00274101" w:rsidRDefault="00FC0CFC">
      <w:r w:rsidRPr="00274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71BB" w14:textId="73CB75F8" w:rsidR="00F7640D" w:rsidRPr="00274101" w:rsidRDefault="00F7640D">
    <w:pPr>
      <w:pStyle w:val="stBilgi"/>
    </w:pPr>
    <w:r w:rsidRPr="00274101">
      <w:rPr>
        <w:noProof/>
      </w:rPr>
      <w:drawing>
        <wp:inline distT="0" distB="0" distL="0" distR="0" wp14:anchorId="5F79B26A" wp14:editId="586D810F">
          <wp:extent cx="3884531" cy="1203125"/>
          <wp:effectExtent l="0" t="0" r="1905" b="3810"/>
          <wp:docPr id="7" name="Picture 1" descr="A close-up of a logo&#10;&#10;Description automatically generated">
            <a:extLst xmlns:a="http://schemas.openxmlformats.org/drawingml/2006/main">
              <a:ext uri="{FF2B5EF4-FFF2-40B4-BE49-F238E27FC236}">
                <a16:creationId xmlns:a16="http://schemas.microsoft.com/office/drawing/2014/main" id="{B71F3E7E-96DE-A587-CBC2-B375ED8BC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close-up of a logo&#10;&#10;Description automatically generated">
                    <a:extLst>
                      <a:ext uri="{FF2B5EF4-FFF2-40B4-BE49-F238E27FC236}">
                        <a16:creationId xmlns:a16="http://schemas.microsoft.com/office/drawing/2014/main" id="{B71F3E7E-96DE-A587-CBC2-B375ED8BC6CB}"/>
                      </a:ext>
                    </a:extLst>
                  </pic:cNvPr>
                  <pic:cNvPicPr>
                    <a:picLocks noChangeAspect="1"/>
                  </pic:cNvPicPr>
                </pic:nvPicPr>
                <pic:blipFill>
                  <a:blip r:embed="rId1"/>
                  <a:stretch>
                    <a:fillRect/>
                  </a:stretch>
                </pic:blipFill>
                <pic:spPr>
                  <a:xfrm>
                    <a:off x="0" y="0"/>
                    <a:ext cx="3926251" cy="12160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lowerRoman"/>
      <w:suff w:val="nothing"/>
      <w:lvlText w:val="%9)"/>
      <w:lvlJc w:val="left"/>
    </w:lvl>
  </w:abstractNum>
  <w:abstractNum w:abstractNumId="1" w15:restartNumberingAfterBreak="0">
    <w:nsid w:val="0B0F5DC3"/>
    <w:multiLevelType w:val="hybridMultilevel"/>
    <w:tmpl w:val="9B5210B2"/>
    <w:lvl w:ilvl="0" w:tplc="1EF4ED46">
      <w:start w:val="1"/>
      <w:numFmt w:val="decimal"/>
      <w:pStyle w:val="SonNotMetni"/>
      <w:lvlText w:val="[%1]"/>
      <w:lvlJc w:val="left"/>
      <w:pPr>
        <w:tabs>
          <w:tab w:val="num" w:pos="567"/>
        </w:tabs>
        <w:ind w:left="567" w:hanging="567"/>
      </w:pPr>
      <w:rPr>
        <w:rFonts w:ascii="Garamond" w:hAnsi="Garamond"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4C7DB6"/>
    <w:multiLevelType w:val="hybridMultilevel"/>
    <w:tmpl w:val="F3BE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C153A"/>
    <w:multiLevelType w:val="multilevel"/>
    <w:tmpl w:val="27F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631FA"/>
    <w:multiLevelType w:val="multilevel"/>
    <w:tmpl w:val="F7D2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E1B1A"/>
    <w:multiLevelType w:val="hybridMultilevel"/>
    <w:tmpl w:val="C9CA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A0247"/>
    <w:multiLevelType w:val="multilevel"/>
    <w:tmpl w:val="3AF8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56EE7"/>
    <w:multiLevelType w:val="hybridMultilevel"/>
    <w:tmpl w:val="C8D4F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935FF"/>
    <w:multiLevelType w:val="hybridMultilevel"/>
    <w:tmpl w:val="77C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402F8"/>
    <w:multiLevelType w:val="hybridMultilevel"/>
    <w:tmpl w:val="4B7A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069C0"/>
    <w:multiLevelType w:val="hybridMultilevel"/>
    <w:tmpl w:val="4C780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3136F"/>
    <w:multiLevelType w:val="multilevel"/>
    <w:tmpl w:val="7E2A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915738">
    <w:abstractNumId w:val="0"/>
  </w:num>
  <w:num w:numId="2" w16cid:durableId="450326837">
    <w:abstractNumId w:val="1"/>
  </w:num>
  <w:num w:numId="3" w16cid:durableId="1172454485">
    <w:abstractNumId w:val="2"/>
  </w:num>
  <w:num w:numId="4" w16cid:durableId="192378722">
    <w:abstractNumId w:val="9"/>
  </w:num>
  <w:num w:numId="5" w16cid:durableId="390269958">
    <w:abstractNumId w:val="5"/>
  </w:num>
  <w:num w:numId="6" w16cid:durableId="2058897220">
    <w:abstractNumId w:val="7"/>
  </w:num>
  <w:num w:numId="7" w16cid:durableId="286277593">
    <w:abstractNumId w:val="8"/>
  </w:num>
  <w:num w:numId="8" w16cid:durableId="1064259987">
    <w:abstractNumId w:val="10"/>
  </w:num>
  <w:num w:numId="9" w16cid:durableId="26299813">
    <w:abstractNumId w:val="3"/>
  </w:num>
  <w:num w:numId="10" w16cid:durableId="709381358">
    <w:abstractNumId w:val="11"/>
  </w:num>
  <w:num w:numId="11" w16cid:durableId="282737221">
    <w:abstractNumId w:val="4"/>
  </w:num>
  <w:num w:numId="12" w16cid:durableId="1120534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ICA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d95w9zwrr0vieardsxder30faetpx9wsev&quot;&gt;NSFCAREER_2012&lt;record-ids&gt;&lt;item&gt;108&lt;/item&gt;&lt;item&gt;153&lt;/item&gt;&lt;item&gt;154&lt;/item&gt;&lt;item&gt;156&lt;/item&gt;&lt;item&gt;157&lt;/item&gt;&lt;item&gt;158&lt;/item&gt;&lt;item&gt;681&lt;/item&gt;&lt;item&gt;932&lt;/item&gt;&lt;item&gt;936&lt;/item&gt;&lt;item&gt;1080&lt;/item&gt;&lt;item&gt;1081&lt;/item&gt;&lt;item&gt;1082&lt;/item&gt;&lt;item&gt;1084&lt;/item&gt;&lt;item&gt;1085&lt;/item&gt;&lt;item&gt;1086&lt;/item&gt;&lt;item&gt;1105&lt;/item&gt;&lt;/record-ids&gt;&lt;/item&gt;&lt;/Libraries&gt;"/>
  </w:docVars>
  <w:rsids>
    <w:rsidRoot w:val="00B54572"/>
    <w:rsid w:val="000301C9"/>
    <w:rsid w:val="000327C8"/>
    <w:rsid w:val="00042E33"/>
    <w:rsid w:val="00055962"/>
    <w:rsid w:val="0006744E"/>
    <w:rsid w:val="00070B61"/>
    <w:rsid w:val="00074282"/>
    <w:rsid w:val="00080378"/>
    <w:rsid w:val="00086060"/>
    <w:rsid w:val="0008697E"/>
    <w:rsid w:val="0009331D"/>
    <w:rsid w:val="000973EB"/>
    <w:rsid w:val="000B6B97"/>
    <w:rsid w:val="000F25AA"/>
    <w:rsid w:val="000F52AE"/>
    <w:rsid w:val="00101B11"/>
    <w:rsid w:val="00111E00"/>
    <w:rsid w:val="00116039"/>
    <w:rsid w:val="00122E0B"/>
    <w:rsid w:val="001410E4"/>
    <w:rsid w:val="00151202"/>
    <w:rsid w:val="00157720"/>
    <w:rsid w:val="001579E0"/>
    <w:rsid w:val="00157ECA"/>
    <w:rsid w:val="0016550C"/>
    <w:rsid w:val="00170AF3"/>
    <w:rsid w:val="00174021"/>
    <w:rsid w:val="001868A5"/>
    <w:rsid w:val="001C41D0"/>
    <w:rsid w:val="001C51E6"/>
    <w:rsid w:val="001C72C0"/>
    <w:rsid w:val="001D1CBD"/>
    <w:rsid w:val="001D4826"/>
    <w:rsid w:val="001E1C0A"/>
    <w:rsid w:val="001E2EA4"/>
    <w:rsid w:val="001E33E8"/>
    <w:rsid w:val="001E6905"/>
    <w:rsid w:val="00215CEE"/>
    <w:rsid w:val="00216DA1"/>
    <w:rsid w:val="0025626A"/>
    <w:rsid w:val="002709B6"/>
    <w:rsid w:val="002725BE"/>
    <w:rsid w:val="00274101"/>
    <w:rsid w:val="00277C68"/>
    <w:rsid w:val="00280755"/>
    <w:rsid w:val="002A72C2"/>
    <w:rsid w:val="002B0488"/>
    <w:rsid w:val="002B30CA"/>
    <w:rsid w:val="002C3E65"/>
    <w:rsid w:val="002D6C58"/>
    <w:rsid w:val="002E052C"/>
    <w:rsid w:val="00302C3E"/>
    <w:rsid w:val="00311772"/>
    <w:rsid w:val="0031575D"/>
    <w:rsid w:val="00330481"/>
    <w:rsid w:val="00341241"/>
    <w:rsid w:val="00343FFB"/>
    <w:rsid w:val="003468B6"/>
    <w:rsid w:val="003470C2"/>
    <w:rsid w:val="00347739"/>
    <w:rsid w:val="00351528"/>
    <w:rsid w:val="003579EF"/>
    <w:rsid w:val="00362DB5"/>
    <w:rsid w:val="003810E9"/>
    <w:rsid w:val="00387AF6"/>
    <w:rsid w:val="003A0FAF"/>
    <w:rsid w:val="003A178B"/>
    <w:rsid w:val="003D54AF"/>
    <w:rsid w:val="003F1041"/>
    <w:rsid w:val="00416527"/>
    <w:rsid w:val="00442CAB"/>
    <w:rsid w:val="004524DC"/>
    <w:rsid w:val="00454153"/>
    <w:rsid w:val="0046690D"/>
    <w:rsid w:val="004776B0"/>
    <w:rsid w:val="00490F1A"/>
    <w:rsid w:val="00493FBC"/>
    <w:rsid w:val="004B69F2"/>
    <w:rsid w:val="004C0148"/>
    <w:rsid w:val="004C57FC"/>
    <w:rsid w:val="004D0162"/>
    <w:rsid w:val="004F075F"/>
    <w:rsid w:val="004F5829"/>
    <w:rsid w:val="00511A85"/>
    <w:rsid w:val="0052400E"/>
    <w:rsid w:val="00535860"/>
    <w:rsid w:val="0053655A"/>
    <w:rsid w:val="00540404"/>
    <w:rsid w:val="005537E5"/>
    <w:rsid w:val="005618CD"/>
    <w:rsid w:val="00561CBF"/>
    <w:rsid w:val="00573C61"/>
    <w:rsid w:val="0058605C"/>
    <w:rsid w:val="005934A5"/>
    <w:rsid w:val="005A6773"/>
    <w:rsid w:val="005E33C1"/>
    <w:rsid w:val="005F13A1"/>
    <w:rsid w:val="005F2363"/>
    <w:rsid w:val="00606D30"/>
    <w:rsid w:val="0060786E"/>
    <w:rsid w:val="00622EF0"/>
    <w:rsid w:val="00635E82"/>
    <w:rsid w:val="00636DAA"/>
    <w:rsid w:val="006447FE"/>
    <w:rsid w:val="00645CC4"/>
    <w:rsid w:val="006538B1"/>
    <w:rsid w:val="006608E6"/>
    <w:rsid w:val="0066570D"/>
    <w:rsid w:val="00693D56"/>
    <w:rsid w:val="006D3FB1"/>
    <w:rsid w:val="006F3D70"/>
    <w:rsid w:val="006F412A"/>
    <w:rsid w:val="00700B9F"/>
    <w:rsid w:val="00720E32"/>
    <w:rsid w:val="007232A5"/>
    <w:rsid w:val="00727D21"/>
    <w:rsid w:val="00730A20"/>
    <w:rsid w:val="00730E9B"/>
    <w:rsid w:val="0073383D"/>
    <w:rsid w:val="007351DA"/>
    <w:rsid w:val="00753F25"/>
    <w:rsid w:val="00754A8C"/>
    <w:rsid w:val="00755A3A"/>
    <w:rsid w:val="00772867"/>
    <w:rsid w:val="00777CB4"/>
    <w:rsid w:val="00785336"/>
    <w:rsid w:val="007A3313"/>
    <w:rsid w:val="007B3386"/>
    <w:rsid w:val="007B3FFD"/>
    <w:rsid w:val="007F4131"/>
    <w:rsid w:val="007F639E"/>
    <w:rsid w:val="00822AC6"/>
    <w:rsid w:val="008479FA"/>
    <w:rsid w:val="00870165"/>
    <w:rsid w:val="00872DDF"/>
    <w:rsid w:val="00880550"/>
    <w:rsid w:val="008823D9"/>
    <w:rsid w:val="00884CB2"/>
    <w:rsid w:val="0088746E"/>
    <w:rsid w:val="008A60F2"/>
    <w:rsid w:val="008B22A5"/>
    <w:rsid w:val="008B2852"/>
    <w:rsid w:val="008B6837"/>
    <w:rsid w:val="008D676A"/>
    <w:rsid w:val="008E20C4"/>
    <w:rsid w:val="00910106"/>
    <w:rsid w:val="00926EF3"/>
    <w:rsid w:val="00942C44"/>
    <w:rsid w:val="00943D68"/>
    <w:rsid w:val="009509E1"/>
    <w:rsid w:val="00955E08"/>
    <w:rsid w:val="009D44D5"/>
    <w:rsid w:val="009D5434"/>
    <w:rsid w:val="009F33DC"/>
    <w:rsid w:val="00A25C0F"/>
    <w:rsid w:val="00A50BFD"/>
    <w:rsid w:val="00A64C69"/>
    <w:rsid w:val="00AA623C"/>
    <w:rsid w:val="00AA6830"/>
    <w:rsid w:val="00AB0520"/>
    <w:rsid w:val="00AB4736"/>
    <w:rsid w:val="00AD45FC"/>
    <w:rsid w:val="00AE2073"/>
    <w:rsid w:val="00AE5C89"/>
    <w:rsid w:val="00AE7D09"/>
    <w:rsid w:val="00AF15E6"/>
    <w:rsid w:val="00B012A1"/>
    <w:rsid w:val="00B13105"/>
    <w:rsid w:val="00B21D1D"/>
    <w:rsid w:val="00B54572"/>
    <w:rsid w:val="00B82781"/>
    <w:rsid w:val="00B87129"/>
    <w:rsid w:val="00BA435E"/>
    <w:rsid w:val="00BE58F6"/>
    <w:rsid w:val="00BF3F8D"/>
    <w:rsid w:val="00C109CA"/>
    <w:rsid w:val="00C20F91"/>
    <w:rsid w:val="00C37261"/>
    <w:rsid w:val="00C379C2"/>
    <w:rsid w:val="00C405D4"/>
    <w:rsid w:val="00C447BF"/>
    <w:rsid w:val="00C524ED"/>
    <w:rsid w:val="00C52CA8"/>
    <w:rsid w:val="00C5611E"/>
    <w:rsid w:val="00C63267"/>
    <w:rsid w:val="00C709A8"/>
    <w:rsid w:val="00C74619"/>
    <w:rsid w:val="00C74AE2"/>
    <w:rsid w:val="00CA6F53"/>
    <w:rsid w:val="00CD3449"/>
    <w:rsid w:val="00CD3B01"/>
    <w:rsid w:val="00CE76CA"/>
    <w:rsid w:val="00D049D7"/>
    <w:rsid w:val="00D13D92"/>
    <w:rsid w:val="00D17602"/>
    <w:rsid w:val="00D41ECA"/>
    <w:rsid w:val="00D4779F"/>
    <w:rsid w:val="00D652CD"/>
    <w:rsid w:val="00D91E28"/>
    <w:rsid w:val="00DA0EDD"/>
    <w:rsid w:val="00DA3B0F"/>
    <w:rsid w:val="00DA6882"/>
    <w:rsid w:val="00DE13C1"/>
    <w:rsid w:val="00DF4302"/>
    <w:rsid w:val="00E0023D"/>
    <w:rsid w:val="00E0237A"/>
    <w:rsid w:val="00E0465F"/>
    <w:rsid w:val="00E066B2"/>
    <w:rsid w:val="00E10E23"/>
    <w:rsid w:val="00E13C26"/>
    <w:rsid w:val="00E20768"/>
    <w:rsid w:val="00E57B0F"/>
    <w:rsid w:val="00E64DBC"/>
    <w:rsid w:val="00E66553"/>
    <w:rsid w:val="00E73A2F"/>
    <w:rsid w:val="00E811D1"/>
    <w:rsid w:val="00E95094"/>
    <w:rsid w:val="00E97E35"/>
    <w:rsid w:val="00EA1F5E"/>
    <w:rsid w:val="00EA3B1D"/>
    <w:rsid w:val="00EB0C4B"/>
    <w:rsid w:val="00EB3B7F"/>
    <w:rsid w:val="00EB6008"/>
    <w:rsid w:val="00EB7C32"/>
    <w:rsid w:val="00ED1E08"/>
    <w:rsid w:val="00EF2CA6"/>
    <w:rsid w:val="00EF58FC"/>
    <w:rsid w:val="00F6764E"/>
    <w:rsid w:val="00F7640D"/>
    <w:rsid w:val="00F85F51"/>
    <w:rsid w:val="00F9397C"/>
    <w:rsid w:val="00FA10C3"/>
    <w:rsid w:val="00FA3D3A"/>
    <w:rsid w:val="00FB5293"/>
    <w:rsid w:val="00FC0CFC"/>
    <w:rsid w:val="00FC1ABA"/>
    <w:rsid w:val="00FE5F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7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351DA"/>
    <w:rPr>
      <w:sz w:val="24"/>
      <w:lang w:val="en-GB" w:eastAsia="en-US"/>
    </w:rPr>
  </w:style>
  <w:style w:type="paragraph" w:styleId="Balk1">
    <w:name w:val="heading 1"/>
    <w:basedOn w:val="Normal"/>
    <w:next w:val="Normal"/>
    <w:link w:val="Balk1Char"/>
    <w:uiPriority w:val="9"/>
    <w:qFormat/>
    <w:rsid w:val="00F7640D"/>
    <w:pPr>
      <w:keepNext/>
      <w:keepLines/>
      <w:spacing w:before="120"/>
      <w:jc w:val="center"/>
      <w:outlineLvl w:val="0"/>
    </w:pPr>
    <w:rPr>
      <w:rFonts w:ascii="Arial" w:eastAsiaTheme="majorEastAsia" w:hAnsi="Arial" w:cstheme="majorBidi"/>
      <w:b/>
      <w:caps/>
      <w:color w:val="000000" w:themeColor="text1"/>
      <w:sz w:val="28"/>
      <w:szCs w:val="32"/>
    </w:rPr>
  </w:style>
  <w:style w:type="paragraph" w:styleId="Balk2">
    <w:name w:val="heading 2"/>
    <w:basedOn w:val="Normal"/>
    <w:next w:val="Normal"/>
    <w:link w:val="Balk2Char"/>
    <w:uiPriority w:val="9"/>
    <w:unhideWhenUsed/>
    <w:qFormat/>
    <w:rsid w:val="00F7640D"/>
    <w:pPr>
      <w:keepNext/>
      <w:keepLines/>
      <w:jc w:val="center"/>
      <w:outlineLvl w:val="1"/>
    </w:pPr>
    <w:rPr>
      <w:rFonts w:ascii="Arial" w:eastAsiaTheme="majorEastAsia" w:hAnsi="Arial" w:cstheme="majorBidi"/>
      <w:b/>
      <w:color w:val="000000" w:themeColor="text1"/>
      <w:szCs w:val="26"/>
    </w:rPr>
  </w:style>
  <w:style w:type="paragraph" w:styleId="Balk3">
    <w:name w:val="heading 3"/>
    <w:basedOn w:val="Normal"/>
    <w:next w:val="Normal"/>
    <w:link w:val="Balk3Char"/>
    <w:uiPriority w:val="9"/>
    <w:unhideWhenUsed/>
    <w:qFormat/>
    <w:rsid w:val="00F7640D"/>
    <w:pPr>
      <w:keepNext/>
      <w:keepLines/>
      <w:spacing w:before="40"/>
      <w:outlineLvl w:val="2"/>
    </w:pPr>
    <w:rPr>
      <w:rFonts w:ascii="Arial" w:eastAsiaTheme="majorEastAsia" w:hAnsi="Arial" w:cstheme="majorBidi"/>
      <w:b/>
      <w:color w:val="000000" w:themeColor="text1"/>
      <w:szCs w:val="24"/>
    </w:rPr>
  </w:style>
  <w:style w:type="paragraph" w:styleId="Balk4">
    <w:name w:val="heading 4"/>
    <w:basedOn w:val="Normal"/>
    <w:next w:val="Normal"/>
    <w:link w:val="Balk4Char"/>
    <w:uiPriority w:val="9"/>
    <w:unhideWhenUsed/>
    <w:qFormat/>
    <w:rsid w:val="00F7640D"/>
    <w:pPr>
      <w:keepNext/>
      <w:keepLines/>
      <w:spacing w:before="40"/>
      <w:outlineLvl w:val="3"/>
    </w:pPr>
    <w:rPr>
      <w:rFonts w:ascii="Arial" w:eastAsiaTheme="majorEastAsia" w:hAnsi="Arial" w:cstheme="majorBidi"/>
      <w:iCs/>
      <w:color w:val="000000" w:themeColor="text1"/>
      <w:u w:val="single"/>
    </w:rPr>
  </w:style>
  <w:style w:type="paragraph" w:styleId="Balk5">
    <w:name w:val="heading 5"/>
    <w:basedOn w:val="Normal"/>
    <w:next w:val="Normal"/>
    <w:link w:val="Balk5Char"/>
    <w:uiPriority w:val="9"/>
    <w:unhideWhenUsed/>
    <w:qFormat/>
    <w:rsid w:val="00F7640D"/>
    <w:pPr>
      <w:keepNext/>
      <w:keepLines/>
      <w:spacing w:before="40"/>
      <w:outlineLvl w:val="4"/>
    </w:pPr>
    <w:rPr>
      <w:rFonts w:ascii="Arial" w:eastAsiaTheme="majorEastAsia" w:hAnsi="Arial" w:cstheme="majorBidi"/>
      <w:i/>
      <w:color w:val="000000" w:themeColor="text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57720"/>
    <w:rPr>
      <w:color w:val="0000FF" w:themeColor="hyperlink"/>
      <w:u w:val="single"/>
    </w:rPr>
  </w:style>
  <w:style w:type="paragraph" w:customStyle="1" w:styleId="Legal1">
    <w:name w:val="Legal 1"/>
    <w:basedOn w:val="Normal"/>
    <w:rsid w:val="009509E1"/>
    <w:pPr>
      <w:widowControl w:val="0"/>
    </w:pPr>
  </w:style>
  <w:style w:type="paragraph" w:customStyle="1" w:styleId="Legal2">
    <w:name w:val="Legal 2"/>
    <w:basedOn w:val="Normal"/>
    <w:rsid w:val="009509E1"/>
    <w:pPr>
      <w:widowControl w:val="0"/>
    </w:pPr>
  </w:style>
  <w:style w:type="paragraph" w:customStyle="1" w:styleId="Legal3">
    <w:name w:val="Legal 3"/>
    <w:basedOn w:val="Normal"/>
    <w:rsid w:val="009509E1"/>
    <w:pPr>
      <w:widowControl w:val="0"/>
    </w:pPr>
  </w:style>
  <w:style w:type="paragraph" w:customStyle="1" w:styleId="Legal4">
    <w:name w:val="Legal 4"/>
    <w:basedOn w:val="Normal"/>
    <w:rsid w:val="009509E1"/>
    <w:pPr>
      <w:widowControl w:val="0"/>
    </w:pPr>
  </w:style>
  <w:style w:type="paragraph" w:customStyle="1" w:styleId="Legal5">
    <w:name w:val="Legal 5"/>
    <w:basedOn w:val="Normal"/>
    <w:rsid w:val="009509E1"/>
    <w:pPr>
      <w:widowControl w:val="0"/>
    </w:pPr>
  </w:style>
  <w:style w:type="paragraph" w:customStyle="1" w:styleId="Legal6">
    <w:name w:val="Legal 6"/>
    <w:basedOn w:val="Normal"/>
    <w:rsid w:val="009509E1"/>
    <w:pPr>
      <w:widowControl w:val="0"/>
    </w:pPr>
  </w:style>
  <w:style w:type="paragraph" w:customStyle="1" w:styleId="Legal7">
    <w:name w:val="Legal 7"/>
    <w:basedOn w:val="Normal"/>
    <w:rsid w:val="009509E1"/>
    <w:pPr>
      <w:widowControl w:val="0"/>
    </w:pPr>
  </w:style>
  <w:style w:type="paragraph" w:customStyle="1" w:styleId="Legal8">
    <w:name w:val="Legal 8"/>
    <w:basedOn w:val="Normal"/>
    <w:rsid w:val="009509E1"/>
    <w:pPr>
      <w:widowControl w:val="0"/>
    </w:pPr>
  </w:style>
  <w:style w:type="paragraph" w:customStyle="1" w:styleId="Legal9">
    <w:name w:val="Legal 9"/>
    <w:basedOn w:val="Normal"/>
    <w:rsid w:val="009509E1"/>
    <w:pPr>
      <w:widowControl w:val="0"/>
    </w:pPr>
  </w:style>
  <w:style w:type="paragraph" w:styleId="DipnotMetni">
    <w:name w:val="footnote text"/>
    <w:basedOn w:val="Normal"/>
    <w:semiHidden/>
    <w:rsid w:val="009509E1"/>
    <w:pPr>
      <w:tabs>
        <w:tab w:val="left" w:pos="0"/>
        <w:tab w:val="left" w:pos="566"/>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jc w:val="both"/>
    </w:pPr>
  </w:style>
  <w:style w:type="character" w:styleId="DipnotBavurusu">
    <w:name w:val="footnote reference"/>
    <w:basedOn w:val="VarsaylanParagrafYazTipi"/>
    <w:semiHidden/>
    <w:rsid w:val="009509E1"/>
    <w:rPr>
      <w:vertAlign w:val="superscript"/>
    </w:rPr>
  </w:style>
  <w:style w:type="character" w:styleId="SonNotBavurusu">
    <w:name w:val="endnote reference"/>
    <w:basedOn w:val="VarsaylanParagrafYazTipi"/>
    <w:semiHidden/>
    <w:rsid w:val="009509E1"/>
  </w:style>
  <w:style w:type="paragraph" w:styleId="SonNotMetni">
    <w:name w:val="endnote text"/>
    <w:basedOn w:val="Normal"/>
    <w:link w:val="SonNotMetniChar"/>
    <w:semiHidden/>
    <w:rsid w:val="009509E1"/>
    <w:pPr>
      <w:numPr>
        <w:numId w:val="2"/>
      </w:numPr>
      <w:jc w:val="both"/>
    </w:pPr>
    <w:rPr>
      <w:rFonts w:ascii="Garamond" w:hAnsi="Garamond"/>
      <w:sz w:val="20"/>
    </w:rPr>
  </w:style>
  <w:style w:type="character" w:customStyle="1" w:styleId="SYSHYPERTEXT">
    <w:name w:val="SYS_HYPERTEXT"/>
    <w:basedOn w:val="VarsaylanParagrafYazTipi"/>
    <w:rsid w:val="009509E1"/>
    <w:rPr>
      <w:color w:val="0000FF"/>
      <w:u w:val="single"/>
    </w:rPr>
  </w:style>
  <w:style w:type="character" w:customStyle="1" w:styleId="SonNotMetniChar">
    <w:name w:val="Son Not Metni Char"/>
    <w:basedOn w:val="VarsaylanParagrafYazTipi"/>
    <w:link w:val="SonNotMetni"/>
    <w:semiHidden/>
    <w:rsid w:val="00157720"/>
    <w:rPr>
      <w:rFonts w:ascii="Garamond" w:hAnsi="Garamond"/>
      <w:lang w:val="en-GB" w:eastAsia="en-US"/>
    </w:rPr>
  </w:style>
  <w:style w:type="paragraph" w:styleId="BalonMetni">
    <w:name w:val="Balloon Text"/>
    <w:basedOn w:val="Normal"/>
    <w:link w:val="BalonMetniChar"/>
    <w:uiPriority w:val="99"/>
    <w:semiHidden/>
    <w:unhideWhenUsed/>
    <w:rsid w:val="00157720"/>
    <w:rPr>
      <w:rFonts w:ascii="Tahoma" w:hAnsi="Tahoma" w:cs="Tahoma"/>
      <w:sz w:val="16"/>
      <w:szCs w:val="16"/>
    </w:rPr>
  </w:style>
  <w:style w:type="character" w:customStyle="1" w:styleId="BalonMetniChar">
    <w:name w:val="Balon Metni Char"/>
    <w:basedOn w:val="VarsaylanParagrafYazTipi"/>
    <w:link w:val="BalonMetni"/>
    <w:uiPriority w:val="99"/>
    <w:semiHidden/>
    <w:rsid w:val="00157720"/>
    <w:rPr>
      <w:rFonts w:ascii="Tahoma" w:hAnsi="Tahoma" w:cs="Tahoma"/>
      <w:sz w:val="16"/>
      <w:szCs w:val="16"/>
      <w:lang w:val="en-US" w:eastAsia="en-US"/>
    </w:rPr>
  </w:style>
  <w:style w:type="character" w:styleId="AklamaBavurusu">
    <w:name w:val="annotation reference"/>
    <w:basedOn w:val="VarsaylanParagrafYazTipi"/>
    <w:uiPriority w:val="99"/>
    <w:semiHidden/>
    <w:unhideWhenUsed/>
    <w:rsid w:val="00351528"/>
    <w:rPr>
      <w:sz w:val="16"/>
      <w:szCs w:val="16"/>
    </w:rPr>
  </w:style>
  <w:style w:type="paragraph" w:styleId="AklamaMetni">
    <w:name w:val="annotation text"/>
    <w:basedOn w:val="Normal"/>
    <w:link w:val="AklamaMetniChar"/>
    <w:uiPriority w:val="99"/>
    <w:semiHidden/>
    <w:unhideWhenUsed/>
    <w:rsid w:val="00351528"/>
    <w:rPr>
      <w:sz w:val="20"/>
    </w:rPr>
  </w:style>
  <w:style w:type="character" w:customStyle="1" w:styleId="AklamaMetniChar">
    <w:name w:val="Açıklama Metni Char"/>
    <w:basedOn w:val="VarsaylanParagrafYazTipi"/>
    <w:link w:val="AklamaMetni"/>
    <w:uiPriority w:val="99"/>
    <w:semiHidden/>
    <w:rsid w:val="00351528"/>
    <w:rPr>
      <w:lang w:val="en-US" w:eastAsia="en-US"/>
    </w:rPr>
  </w:style>
  <w:style w:type="paragraph" w:styleId="AklamaKonusu">
    <w:name w:val="annotation subject"/>
    <w:basedOn w:val="AklamaMetni"/>
    <w:next w:val="AklamaMetni"/>
    <w:link w:val="AklamaKonusuChar"/>
    <w:uiPriority w:val="99"/>
    <w:semiHidden/>
    <w:unhideWhenUsed/>
    <w:rsid w:val="00351528"/>
    <w:rPr>
      <w:b/>
      <w:bCs/>
    </w:rPr>
  </w:style>
  <w:style w:type="character" w:customStyle="1" w:styleId="AklamaKonusuChar">
    <w:name w:val="Açıklama Konusu Char"/>
    <w:basedOn w:val="AklamaMetniChar"/>
    <w:link w:val="AklamaKonusu"/>
    <w:uiPriority w:val="99"/>
    <w:semiHidden/>
    <w:rsid w:val="00351528"/>
    <w:rPr>
      <w:b/>
      <w:bCs/>
      <w:lang w:val="en-US" w:eastAsia="en-US"/>
    </w:rPr>
  </w:style>
  <w:style w:type="paragraph" w:customStyle="1" w:styleId="EndNoteBibliographyTitle">
    <w:name w:val="EndNote Bibliography Title"/>
    <w:basedOn w:val="Normal"/>
    <w:rsid w:val="001D1CBD"/>
    <w:pPr>
      <w:jc w:val="center"/>
    </w:pPr>
  </w:style>
  <w:style w:type="paragraph" w:customStyle="1" w:styleId="EndNoteBibliography">
    <w:name w:val="EndNote Bibliography"/>
    <w:basedOn w:val="Normal"/>
    <w:rsid w:val="001D1CBD"/>
    <w:pPr>
      <w:jc w:val="both"/>
    </w:pPr>
  </w:style>
  <w:style w:type="paragraph" w:styleId="ListeParagraf">
    <w:name w:val="List Paragraph"/>
    <w:basedOn w:val="Normal"/>
    <w:uiPriority w:val="34"/>
    <w:qFormat/>
    <w:rsid w:val="00E57B0F"/>
    <w:pPr>
      <w:ind w:left="720"/>
      <w:contextualSpacing/>
    </w:pPr>
  </w:style>
  <w:style w:type="paragraph" w:styleId="ResimYazs">
    <w:name w:val="caption"/>
    <w:basedOn w:val="Normal"/>
    <w:next w:val="Normal"/>
    <w:uiPriority w:val="35"/>
    <w:unhideWhenUsed/>
    <w:qFormat/>
    <w:rsid w:val="00F7640D"/>
    <w:pPr>
      <w:spacing w:after="200"/>
      <w:jc w:val="center"/>
    </w:pPr>
    <w:rPr>
      <w:rFonts w:ascii="Arial" w:hAnsi="Arial" w:cs="Arial"/>
      <w:bCs/>
      <w:color w:val="000000"/>
      <w:sz w:val="20"/>
      <w:szCs w:val="28"/>
    </w:rPr>
  </w:style>
  <w:style w:type="paragraph" w:styleId="stBilgi">
    <w:name w:val="header"/>
    <w:basedOn w:val="Normal"/>
    <w:link w:val="stBilgiChar"/>
    <w:uiPriority w:val="99"/>
    <w:unhideWhenUsed/>
    <w:rsid w:val="00AB4736"/>
    <w:pPr>
      <w:tabs>
        <w:tab w:val="center" w:pos="4680"/>
        <w:tab w:val="right" w:pos="9360"/>
      </w:tabs>
    </w:pPr>
  </w:style>
  <w:style w:type="character" w:customStyle="1" w:styleId="stBilgiChar">
    <w:name w:val="Üst Bilgi Char"/>
    <w:basedOn w:val="VarsaylanParagrafYazTipi"/>
    <w:link w:val="stBilgi"/>
    <w:uiPriority w:val="99"/>
    <w:rsid w:val="00AB4736"/>
    <w:rPr>
      <w:sz w:val="24"/>
      <w:lang w:val="en-US" w:eastAsia="en-US"/>
    </w:rPr>
  </w:style>
  <w:style w:type="paragraph" w:styleId="AltBilgi">
    <w:name w:val="footer"/>
    <w:basedOn w:val="Normal"/>
    <w:link w:val="AltBilgiChar"/>
    <w:uiPriority w:val="99"/>
    <w:unhideWhenUsed/>
    <w:rsid w:val="00AB4736"/>
    <w:pPr>
      <w:tabs>
        <w:tab w:val="center" w:pos="4680"/>
        <w:tab w:val="right" w:pos="9360"/>
      </w:tabs>
    </w:pPr>
  </w:style>
  <w:style w:type="character" w:customStyle="1" w:styleId="AltBilgiChar">
    <w:name w:val="Alt Bilgi Char"/>
    <w:basedOn w:val="VarsaylanParagrafYazTipi"/>
    <w:link w:val="AltBilgi"/>
    <w:uiPriority w:val="99"/>
    <w:rsid w:val="00AB4736"/>
    <w:rPr>
      <w:sz w:val="24"/>
      <w:lang w:val="en-US" w:eastAsia="en-US"/>
    </w:rPr>
  </w:style>
  <w:style w:type="character" w:styleId="SayfaNumaras">
    <w:name w:val="page number"/>
    <w:basedOn w:val="VarsaylanParagrafYazTipi"/>
    <w:uiPriority w:val="99"/>
    <w:semiHidden/>
    <w:unhideWhenUsed/>
    <w:rsid w:val="007351DA"/>
  </w:style>
  <w:style w:type="character" w:customStyle="1" w:styleId="Balk1Char">
    <w:name w:val="Başlık 1 Char"/>
    <w:basedOn w:val="VarsaylanParagrafYazTipi"/>
    <w:link w:val="Balk1"/>
    <w:uiPriority w:val="9"/>
    <w:rsid w:val="00F7640D"/>
    <w:rPr>
      <w:rFonts w:ascii="Arial" w:eastAsiaTheme="majorEastAsia" w:hAnsi="Arial" w:cstheme="majorBidi"/>
      <w:b/>
      <w:caps/>
      <w:color w:val="000000" w:themeColor="text1"/>
      <w:sz w:val="28"/>
      <w:szCs w:val="32"/>
      <w:lang w:val="en-GB" w:eastAsia="en-US"/>
    </w:rPr>
  </w:style>
  <w:style w:type="character" w:customStyle="1" w:styleId="Balk2Char">
    <w:name w:val="Başlık 2 Char"/>
    <w:basedOn w:val="VarsaylanParagrafYazTipi"/>
    <w:link w:val="Balk2"/>
    <w:uiPriority w:val="9"/>
    <w:rsid w:val="00F7640D"/>
    <w:rPr>
      <w:rFonts w:ascii="Arial" w:eastAsiaTheme="majorEastAsia" w:hAnsi="Arial" w:cstheme="majorBidi"/>
      <w:b/>
      <w:color w:val="000000" w:themeColor="text1"/>
      <w:sz w:val="24"/>
      <w:szCs w:val="26"/>
      <w:lang w:val="en-US" w:eastAsia="en-US"/>
    </w:rPr>
  </w:style>
  <w:style w:type="character" w:customStyle="1" w:styleId="Balk3Char">
    <w:name w:val="Başlık 3 Char"/>
    <w:basedOn w:val="VarsaylanParagrafYazTipi"/>
    <w:link w:val="Balk3"/>
    <w:uiPriority w:val="9"/>
    <w:rsid w:val="00F7640D"/>
    <w:rPr>
      <w:rFonts w:ascii="Arial" w:eastAsiaTheme="majorEastAsia" w:hAnsi="Arial" w:cstheme="majorBidi"/>
      <w:b/>
      <w:color w:val="000000" w:themeColor="text1"/>
      <w:sz w:val="24"/>
      <w:szCs w:val="24"/>
      <w:lang w:val="en-US" w:eastAsia="en-US"/>
    </w:rPr>
  </w:style>
  <w:style w:type="character" w:customStyle="1" w:styleId="Balk4Char">
    <w:name w:val="Başlık 4 Char"/>
    <w:basedOn w:val="VarsaylanParagrafYazTipi"/>
    <w:link w:val="Balk4"/>
    <w:uiPriority w:val="9"/>
    <w:rsid w:val="00F7640D"/>
    <w:rPr>
      <w:rFonts w:ascii="Arial" w:eastAsiaTheme="majorEastAsia" w:hAnsi="Arial" w:cstheme="majorBidi"/>
      <w:iCs/>
      <w:color w:val="000000" w:themeColor="text1"/>
      <w:sz w:val="24"/>
      <w:u w:val="single"/>
      <w:lang w:val="en-US" w:eastAsia="en-US"/>
    </w:rPr>
  </w:style>
  <w:style w:type="character" w:customStyle="1" w:styleId="Balk5Char">
    <w:name w:val="Başlık 5 Char"/>
    <w:basedOn w:val="VarsaylanParagrafYazTipi"/>
    <w:link w:val="Balk5"/>
    <w:uiPriority w:val="9"/>
    <w:rsid w:val="00F7640D"/>
    <w:rPr>
      <w:rFonts w:ascii="Arial" w:eastAsiaTheme="majorEastAsia" w:hAnsi="Arial" w:cstheme="majorBidi"/>
      <w:i/>
      <w:color w:val="000000" w:themeColor="text1"/>
      <w:sz w:val="24"/>
      <w:lang w:val="en-US" w:eastAsia="en-US"/>
    </w:rPr>
  </w:style>
  <w:style w:type="table" w:styleId="TabloKlavuzu">
    <w:name w:val="Table Grid"/>
    <w:basedOn w:val="NormalTablo"/>
    <w:uiPriority w:val="59"/>
    <w:rsid w:val="00B13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53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D2C4-2379-C941-AFCD-5666BF374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1024</Words>
  <Characters>6340</Characters>
  <Application>Microsoft Office Word</Application>
  <DocSecurity>0</DocSecurity>
  <Lines>218</Lines>
  <Paragraphs>93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NGU</Company>
  <LinksUpToDate>false</LinksUpToDate>
  <CharactersWithSpaces>7271</CharactersWithSpaces>
  <SharedDoc>false</SharedDoc>
  <HLinks>
    <vt:vector size="6" baseType="variant">
      <vt:variant>
        <vt:i4>7667727</vt:i4>
      </vt:variant>
      <vt:variant>
        <vt:i4>0</vt:i4>
      </vt:variant>
      <vt:variant>
        <vt:i4>0</vt:i4>
      </vt:variant>
      <vt:variant>
        <vt:i4>5</vt:i4>
      </vt:variant>
      <vt:variant>
        <vt:lpwstr>mailto:maarten.broekmans@ngu.no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furnas</dc:creator>
  <cp:lastModifiedBy>Buket Polat</cp:lastModifiedBy>
  <cp:revision>42</cp:revision>
  <cp:lastPrinted>2015-06-10T00:26:00Z</cp:lastPrinted>
  <dcterms:created xsi:type="dcterms:W3CDTF">2026-03-04T12:24:00Z</dcterms:created>
  <dcterms:modified xsi:type="dcterms:W3CDTF">2026-03-04T17:11:00Z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184fb2-386a-4647-9f82-bc098daf8ccf_Enabled">
    <vt:lpwstr>true</vt:lpwstr>
  </property>
  <property fmtid="{D5CDD505-2E9C-101B-9397-08002B2CF9AE}" pid="3" name="MSIP_Label_43184fb2-386a-4647-9f82-bc098daf8ccf_SetDate">
    <vt:lpwstr>2026-03-04T12:24:59Z</vt:lpwstr>
  </property>
  <property fmtid="{D5CDD505-2E9C-101B-9397-08002B2CF9AE}" pid="4" name="MSIP_Label_43184fb2-386a-4647-9f82-bc098daf8ccf_Method">
    <vt:lpwstr>Standard</vt:lpwstr>
  </property>
  <property fmtid="{D5CDD505-2E9C-101B-9397-08002B2CF9AE}" pid="5" name="MSIP_Label_43184fb2-386a-4647-9f82-bc098daf8ccf_Name">
    <vt:lpwstr>Halka Açık -Public</vt:lpwstr>
  </property>
  <property fmtid="{D5CDD505-2E9C-101B-9397-08002B2CF9AE}" pid="6" name="MSIP_Label_43184fb2-386a-4647-9f82-bc098daf8ccf_SiteId">
    <vt:lpwstr>0963c99c-9e0a-451d-977b-ba1e1cf94564</vt:lpwstr>
  </property>
  <property fmtid="{D5CDD505-2E9C-101B-9397-08002B2CF9AE}" pid="7" name="MSIP_Label_43184fb2-386a-4647-9f82-bc098daf8ccf_ActionId">
    <vt:lpwstr>fc05b70a-56c3-4e16-a4a2-f73127772a29</vt:lpwstr>
  </property>
  <property fmtid="{D5CDD505-2E9C-101B-9397-08002B2CF9AE}" pid="8" name="MSIP_Label_43184fb2-386a-4647-9f82-bc098daf8ccf_ContentBits">
    <vt:lpwstr>0</vt:lpwstr>
  </property>
  <property fmtid="{D5CDD505-2E9C-101B-9397-08002B2CF9AE}" pid="9" name="MSIP_Label_43184fb2-386a-4647-9f82-bc098daf8ccf_Tag">
    <vt:lpwstr>10, 3, 0, 1</vt:lpwstr>
  </property>
</Properties>
</file>