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9D11D" w14:textId="746AFD38" w:rsidR="00B21D1D" w:rsidRPr="00F7640D" w:rsidRDefault="00902204" w:rsidP="00F7640D">
      <w:pPr>
        <w:pStyle w:val="Heading1"/>
      </w:pPr>
      <w:r>
        <w:t>Utilization of Granulated Slag as Aggregate and Alumina-bearing SCM in Cementitious Systems</w:t>
      </w:r>
    </w:p>
    <w:p w14:paraId="37434332" w14:textId="77777777" w:rsidR="002709B6" w:rsidRPr="007B60F0" w:rsidRDefault="002709B6" w:rsidP="00AB4736">
      <w:pPr>
        <w:tabs>
          <w:tab w:val="left" w:pos="0"/>
          <w:tab w:val="left" w:pos="566"/>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rPr>
          <w:rFonts w:ascii="Arial" w:hAnsi="Arial" w:cs="Arial"/>
          <w:sz w:val="28"/>
          <w:szCs w:val="28"/>
          <w:lang w:val="en-CA"/>
        </w:rPr>
      </w:pPr>
    </w:p>
    <w:p w14:paraId="1FA39D51" w14:textId="32724C20" w:rsidR="007351DA" w:rsidRPr="00F7640D" w:rsidRDefault="00B531A5" w:rsidP="007351DA">
      <w:pPr>
        <w:tabs>
          <w:tab w:val="left" w:pos="0"/>
          <w:tab w:val="left" w:pos="566"/>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rPr>
          <w:rFonts w:ascii="Arial" w:hAnsi="Arial" w:cs="Arial"/>
          <w:szCs w:val="24"/>
          <w:vertAlign w:val="superscript"/>
        </w:rPr>
      </w:pPr>
      <w:r>
        <w:rPr>
          <w:rFonts w:ascii="Arial" w:hAnsi="Arial" w:cs="Arial"/>
          <w:szCs w:val="24"/>
        </w:rPr>
        <w:t>Faucher</w:t>
      </w:r>
      <w:r w:rsidR="007351DA" w:rsidRPr="00F7640D">
        <w:rPr>
          <w:rFonts w:ascii="Arial" w:hAnsi="Arial" w:cs="Arial"/>
          <w:szCs w:val="24"/>
        </w:rPr>
        <w:t xml:space="preserve">, </w:t>
      </w:r>
      <w:r w:rsidR="00785E94">
        <w:rPr>
          <w:rFonts w:ascii="Arial" w:hAnsi="Arial" w:cs="Arial"/>
          <w:szCs w:val="24"/>
        </w:rPr>
        <w:t>Santiago</w:t>
      </w:r>
      <w:r w:rsidR="007351DA" w:rsidRPr="00F7640D">
        <w:rPr>
          <w:rFonts w:ascii="Arial" w:hAnsi="Arial" w:cs="Arial"/>
          <w:szCs w:val="24"/>
        </w:rPr>
        <w:t xml:space="preserve">, </w:t>
      </w:r>
      <w:r w:rsidR="00C47549">
        <w:rPr>
          <w:rFonts w:ascii="Arial" w:hAnsi="Arial" w:cs="Arial"/>
          <w:szCs w:val="24"/>
        </w:rPr>
        <w:t xml:space="preserve">President, Rockwood, Ontario, Canada; </w:t>
      </w:r>
      <w:r w:rsidR="00FC0F0F">
        <w:rPr>
          <w:rFonts w:ascii="Arial" w:hAnsi="Arial" w:cs="Arial"/>
          <w:szCs w:val="24"/>
        </w:rPr>
        <w:br/>
      </w:r>
      <w:r w:rsidR="00264767">
        <w:rPr>
          <w:rFonts w:ascii="Arial" w:hAnsi="Arial" w:cs="Arial"/>
          <w:szCs w:val="24"/>
        </w:rPr>
        <w:t>*</w:t>
      </w:r>
      <w:r w:rsidR="00C47549">
        <w:rPr>
          <w:rFonts w:ascii="Arial" w:hAnsi="Arial" w:cs="Arial"/>
          <w:szCs w:val="24"/>
        </w:rPr>
        <w:t xml:space="preserve">Lau, Kelly, Intermediate Metallurgist, </w:t>
      </w:r>
      <w:r w:rsidR="003E3E33">
        <w:rPr>
          <w:rFonts w:ascii="Arial" w:hAnsi="Arial" w:cs="Arial"/>
          <w:szCs w:val="24"/>
        </w:rPr>
        <w:t>Rockwood, Ontario, Canada</w:t>
      </w:r>
    </w:p>
    <w:p w14:paraId="4545E3D5" w14:textId="77777777" w:rsidR="00E0465F" w:rsidRDefault="00E0465F">
      <w:pPr>
        <w:tabs>
          <w:tab w:val="left" w:pos="0"/>
          <w:tab w:val="left" w:pos="566"/>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jc w:val="both"/>
        <w:rPr>
          <w:rFonts w:ascii="Arial" w:hAnsi="Arial" w:cs="Arial"/>
          <w:szCs w:val="24"/>
          <w:lang w:val="en-GB"/>
        </w:rPr>
      </w:pPr>
    </w:p>
    <w:p w14:paraId="09422692" w14:textId="32698115" w:rsidR="00F7640D" w:rsidRDefault="00F7640D" w:rsidP="00F7640D">
      <w:pPr>
        <w:rPr>
          <w:rFonts w:ascii="Arial" w:hAnsi="Arial" w:cs="Arial"/>
        </w:rPr>
      </w:pPr>
      <w:r w:rsidRPr="00995FD2">
        <w:rPr>
          <w:rFonts w:ascii="Arial" w:hAnsi="Arial" w:cs="Arial"/>
          <w:b/>
          <w:bCs/>
        </w:rPr>
        <w:t>Keywords:</w:t>
      </w:r>
      <w:r>
        <w:rPr>
          <w:rFonts w:ascii="Arial" w:hAnsi="Arial" w:cs="Arial"/>
        </w:rPr>
        <w:t xml:space="preserve"> </w:t>
      </w:r>
      <w:r w:rsidR="00720810" w:rsidRPr="00720810">
        <w:rPr>
          <w:rFonts w:ascii="Arial" w:hAnsi="Arial" w:cs="Arial"/>
        </w:rPr>
        <w:t>Calcium aluminates, supplementary cementitious materials (SCM), platinum slag, alkali-silica reactivity (ASR) mitigation, sustainable construction</w:t>
      </w:r>
    </w:p>
    <w:p w14:paraId="2336D2CF" w14:textId="77777777" w:rsidR="00F7640D" w:rsidRPr="00F7640D" w:rsidRDefault="00F7640D">
      <w:pPr>
        <w:tabs>
          <w:tab w:val="left" w:pos="0"/>
          <w:tab w:val="left" w:pos="566"/>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jc w:val="both"/>
        <w:rPr>
          <w:rFonts w:ascii="Arial" w:hAnsi="Arial" w:cs="Arial"/>
          <w:szCs w:val="24"/>
          <w:lang w:val="en-GB"/>
        </w:rPr>
      </w:pPr>
    </w:p>
    <w:p w14:paraId="1E12BF6A" w14:textId="5BFA6548" w:rsidR="00C4752F" w:rsidRPr="00C4752F" w:rsidRDefault="007351DA" w:rsidP="00B10CB8">
      <w:pPr>
        <w:pStyle w:val="Heading2"/>
        <w:spacing w:after="240"/>
      </w:pPr>
      <w:r w:rsidRPr="00F7640D">
        <w:t>ABSTRACT</w:t>
      </w:r>
    </w:p>
    <w:p w14:paraId="45D16A2E" w14:textId="080743D0" w:rsidR="00C4752F" w:rsidRPr="00A0124F" w:rsidRDefault="00C4752F" w:rsidP="00C4752F">
      <w:pPr>
        <w:spacing w:after="120"/>
        <w:jc w:val="both"/>
        <w:rPr>
          <w:rFonts w:ascii="Arial" w:hAnsi="Arial" w:cs="Arial"/>
          <w:lang w:val="en-CA"/>
        </w:rPr>
      </w:pPr>
      <w:r w:rsidRPr="00A0124F">
        <w:rPr>
          <w:rFonts w:ascii="Arial" w:hAnsi="Arial" w:cs="Arial"/>
          <w:lang w:val="en-CA"/>
        </w:rPr>
        <w:t>This study explores the valorization of a water-granulated platinum slag (GPS) as both a fine aggregate replacement and a supplementary cementitious material (SCM) in mortar formulations. The slag, a byproduct of platinum smelting operation</w:t>
      </w:r>
      <w:r>
        <w:rPr>
          <w:rFonts w:ascii="Arial" w:hAnsi="Arial" w:cs="Arial"/>
          <w:lang w:val="en-CA"/>
        </w:rPr>
        <w:t>s</w:t>
      </w:r>
      <w:r w:rsidRPr="00A0124F">
        <w:rPr>
          <w:rFonts w:ascii="Arial" w:hAnsi="Arial" w:cs="Arial"/>
          <w:lang w:val="en-CA"/>
        </w:rPr>
        <w:t xml:space="preserve">, contains high amorphous content and elevated MgO and </w:t>
      </w:r>
      <w:proofErr w:type="spellStart"/>
      <w:r w:rsidRPr="00A0124F">
        <w:rPr>
          <w:rFonts w:ascii="Arial" w:hAnsi="Arial" w:cs="Arial"/>
          <w:lang w:val="en-CA"/>
        </w:rPr>
        <w:t>Al</w:t>
      </w:r>
      <w:r w:rsidRPr="00A0124F">
        <w:rPr>
          <w:rFonts w:ascii="Cambria Math" w:hAnsi="Cambria Math" w:cs="Cambria Math"/>
          <w:lang w:val="en-CA"/>
        </w:rPr>
        <w:t>₂</w:t>
      </w:r>
      <w:r w:rsidRPr="00A0124F">
        <w:rPr>
          <w:rFonts w:ascii="Arial" w:hAnsi="Arial" w:cs="Arial"/>
          <w:lang w:val="en-CA"/>
        </w:rPr>
        <w:t>O</w:t>
      </w:r>
      <w:proofErr w:type="spellEnd"/>
      <w:r w:rsidRPr="00A0124F">
        <w:rPr>
          <w:rFonts w:ascii="Cambria Math" w:hAnsi="Cambria Math" w:cs="Cambria Math"/>
          <w:lang w:val="en-CA"/>
        </w:rPr>
        <w:t>₃</w:t>
      </w:r>
      <w:r w:rsidRPr="00A0124F">
        <w:rPr>
          <w:rFonts w:ascii="Arial" w:hAnsi="Arial" w:cs="Arial"/>
          <w:lang w:val="en-CA"/>
        </w:rPr>
        <w:t xml:space="preserve"> levels</w:t>
      </w:r>
      <w:r w:rsidR="004E5D0D">
        <w:rPr>
          <w:rFonts w:ascii="Arial" w:hAnsi="Arial" w:cs="Arial"/>
          <w:lang w:val="en-CA"/>
        </w:rPr>
        <w:t>—</w:t>
      </w:r>
      <w:r w:rsidRPr="00A0124F">
        <w:rPr>
          <w:rFonts w:ascii="Arial" w:hAnsi="Arial" w:cs="Arial"/>
          <w:lang w:val="en-CA"/>
        </w:rPr>
        <w:t>making</w:t>
      </w:r>
      <w:r w:rsidR="004E5D0D">
        <w:rPr>
          <w:rFonts w:ascii="Arial" w:hAnsi="Arial" w:cs="Arial"/>
          <w:lang w:val="en-CA"/>
        </w:rPr>
        <w:t xml:space="preserve"> </w:t>
      </w:r>
      <w:r w:rsidRPr="00A0124F">
        <w:rPr>
          <w:rFonts w:ascii="Arial" w:hAnsi="Arial" w:cs="Arial"/>
          <w:lang w:val="en-CA"/>
        </w:rPr>
        <w:t>it a potential contributor to cement chemistry when properly processed.</w:t>
      </w:r>
    </w:p>
    <w:p w14:paraId="0DE3377D" w14:textId="370FAD89" w:rsidR="00C4752F" w:rsidRPr="00A0124F" w:rsidRDefault="00C4752F" w:rsidP="00C4752F">
      <w:pPr>
        <w:spacing w:after="120"/>
        <w:jc w:val="both"/>
        <w:rPr>
          <w:rFonts w:ascii="Arial" w:hAnsi="Arial" w:cs="Arial"/>
          <w:lang w:val="en-CA"/>
        </w:rPr>
      </w:pPr>
      <w:r>
        <w:rPr>
          <w:rFonts w:ascii="Arial" w:hAnsi="Arial" w:cs="Arial"/>
          <w:lang w:val="en-CA"/>
        </w:rPr>
        <w:t>The GPS was tested in two ways. First, as a sand substitute (0-100%) sand replacement, and second, ground to make ground granulated platinum slag (GGPS) as a 30% Ordinary Portland Cement (OPC) replacement.</w:t>
      </w:r>
      <w:r w:rsidRPr="00A0124F">
        <w:rPr>
          <w:rFonts w:ascii="Arial" w:hAnsi="Arial" w:cs="Arial"/>
          <w:lang w:val="en-CA"/>
        </w:rPr>
        <w:t xml:space="preserve"> Three mortar systems were developed: (</w:t>
      </w:r>
      <w:r w:rsidR="00BC489B">
        <w:rPr>
          <w:rFonts w:ascii="Arial" w:hAnsi="Arial" w:cs="Arial"/>
          <w:lang w:val="en-CA"/>
        </w:rPr>
        <w:t>A</w:t>
      </w:r>
      <w:r w:rsidRPr="00A0124F">
        <w:rPr>
          <w:rFonts w:ascii="Arial" w:hAnsi="Arial" w:cs="Arial"/>
          <w:lang w:val="en-CA"/>
        </w:rPr>
        <w:t>) OPC-only, (</w:t>
      </w:r>
      <w:r w:rsidR="00BC489B">
        <w:rPr>
          <w:rFonts w:ascii="Arial" w:hAnsi="Arial" w:cs="Arial"/>
          <w:lang w:val="en-CA"/>
        </w:rPr>
        <w:t>B</w:t>
      </w:r>
      <w:r w:rsidRPr="00A0124F">
        <w:rPr>
          <w:rFonts w:ascii="Arial" w:hAnsi="Arial" w:cs="Arial"/>
          <w:lang w:val="en-CA"/>
        </w:rPr>
        <w:t>) OPC with 30% fly ash, and (</w:t>
      </w:r>
      <w:r w:rsidR="00BC489B">
        <w:rPr>
          <w:rFonts w:ascii="Arial" w:hAnsi="Arial" w:cs="Arial"/>
          <w:lang w:val="en-CA"/>
        </w:rPr>
        <w:t>C</w:t>
      </w:r>
      <w:r w:rsidRPr="00A0124F">
        <w:rPr>
          <w:rFonts w:ascii="Arial" w:hAnsi="Arial" w:cs="Arial"/>
          <w:lang w:val="en-CA"/>
        </w:rPr>
        <w:t>) OPC with 30% GGPS. Mixes were evaluated for workability, compressive strength, alkali-silica reactivity (ASR), and autoclave expansion.</w:t>
      </w:r>
    </w:p>
    <w:p w14:paraId="60D4628B" w14:textId="77777777" w:rsidR="00C4752F" w:rsidRPr="00A0124F" w:rsidRDefault="00C4752F" w:rsidP="00C4752F">
      <w:pPr>
        <w:spacing w:after="120"/>
        <w:jc w:val="both"/>
        <w:rPr>
          <w:rFonts w:ascii="Arial" w:hAnsi="Arial" w:cs="Arial"/>
          <w:lang w:val="en-CA"/>
        </w:rPr>
      </w:pPr>
      <w:r w:rsidRPr="00A0124F">
        <w:rPr>
          <w:rFonts w:ascii="Arial" w:hAnsi="Arial" w:cs="Arial"/>
          <w:lang w:val="en-CA"/>
        </w:rPr>
        <w:t>ASR testing showed that GPS used as sand replacement resulted in excessive expansion (&gt;0.2%), but this was effectively mitigated with the addition of fly ash, enabling up to 100% sand replacement without compromising performance. Autoclave expansion remained within acceptable limits in all cases, indicating mineralogical stability despite high MgO content.</w:t>
      </w:r>
      <w:r>
        <w:rPr>
          <w:rFonts w:ascii="Arial" w:hAnsi="Arial" w:cs="Arial"/>
          <w:lang w:val="en-CA"/>
        </w:rPr>
        <w:t xml:space="preserve"> </w:t>
      </w:r>
      <w:r w:rsidRPr="00A0124F">
        <w:rPr>
          <w:rFonts w:ascii="Arial" w:hAnsi="Arial" w:cs="Arial"/>
          <w:lang w:val="en-CA"/>
        </w:rPr>
        <w:t xml:space="preserve">The GGPS exhibited a Blaine fineness of 441 m²/kg and was found to be chemically active, with favorable ASR suppression and strength comparable to control mixes. </w:t>
      </w:r>
    </w:p>
    <w:p w14:paraId="1EB426A8" w14:textId="5EA3D209" w:rsidR="007351DA" w:rsidRPr="00C4752F" w:rsidRDefault="00C4752F" w:rsidP="00C4752F">
      <w:pPr>
        <w:spacing w:after="120"/>
        <w:jc w:val="both"/>
        <w:rPr>
          <w:rFonts w:ascii="Arial" w:hAnsi="Arial" w:cs="Arial"/>
          <w:lang w:val="en-CA"/>
        </w:rPr>
      </w:pPr>
      <w:r w:rsidRPr="00A0124F">
        <w:rPr>
          <w:rFonts w:ascii="Arial" w:hAnsi="Arial" w:cs="Arial"/>
          <w:lang w:val="en-CA"/>
        </w:rPr>
        <w:t>These results support the use of alumina-bearing GPS and GGPS as promising, industrially sourced SCMs that can help cement manufacturers reach their sustainability and decarbonization goals. Ongoing work is focused on optimizing hybrid binder systems (e.g., fly ash + GGPS) for improved performance in durable and resource-efficient calcium aluminate-based systems.</w:t>
      </w:r>
    </w:p>
    <w:p w14:paraId="003BAFDC" w14:textId="77777777" w:rsidR="007351DA" w:rsidRPr="00F7640D" w:rsidRDefault="007351DA" w:rsidP="00730E9B">
      <w:pPr>
        <w:pStyle w:val="Legal1"/>
        <w:widowControl/>
        <w:tabs>
          <w:tab w:val="left" w:pos="0"/>
          <w:tab w:val="left" w:pos="566"/>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jc w:val="both"/>
        <w:rPr>
          <w:rFonts w:ascii="Arial" w:hAnsi="Arial" w:cs="Arial"/>
          <w:b/>
          <w:szCs w:val="24"/>
          <w:lang w:val="en-GB"/>
        </w:rPr>
      </w:pPr>
    </w:p>
    <w:p w14:paraId="40A789CE" w14:textId="2F30220A" w:rsidR="00491D47" w:rsidRPr="00491D47" w:rsidRDefault="00C379C2" w:rsidP="009F15A3">
      <w:pPr>
        <w:pStyle w:val="Heading2"/>
        <w:spacing w:after="120"/>
      </w:pPr>
      <w:r w:rsidRPr="00F7640D">
        <w:t>INTRODUCTION</w:t>
      </w:r>
      <w:r w:rsidR="00F7640D">
        <w:t xml:space="preserve"> | BACKGROUND </w:t>
      </w:r>
    </w:p>
    <w:p w14:paraId="1E115A8C" w14:textId="39F6512E" w:rsidR="00F61C1C" w:rsidRDefault="00F61C1C" w:rsidP="00F61C1C">
      <w:pPr>
        <w:jc w:val="both"/>
        <w:rPr>
          <w:rFonts w:ascii="Arial" w:hAnsi="Arial" w:cs="Arial"/>
          <w:lang w:val="en-CA"/>
        </w:rPr>
      </w:pPr>
      <w:r w:rsidRPr="00F61C1C">
        <w:rPr>
          <w:rFonts w:ascii="Arial" w:hAnsi="Arial" w:cs="Arial"/>
          <w:lang w:val="en-CA"/>
        </w:rPr>
        <w:t>Reducing clinker content while maintaining mechanical and durability performance is central to cement decarbonization. Supplementary cementitious materials (SCMs), such as fly ash and slag, enhance mechanical and durability properties of cementitious composites while contributing to sustainability objectives</w:t>
      </w:r>
      <w:r w:rsidR="00211EC4">
        <w:rPr>
          <w:rFonts w:ascii="Arial" w:hAnsi="Arial" w:cs="Arial"/>
          <w:vertAlign w:val="superscript"/>
          <w:lang w:val="en-CA"/>
        </w:rPr>
        <w:t xml:space="preserve"> </w:t>
      </w:r>
      <w:r w:rsidR="00211EC4">
        <w:rPr>
          <w:rFonts w:ascii="Arial" w:hAnsi="Arial" w:cs="Arial"/>
          <w:lang w:val="en-CA"/>
        </w:rPr>
        <w:t>[1-3]</w:t>
      </w:r>
      <w:r w:rsidRPr="00F61C1C">
        <w:rPr>
          <w:rFonts w:ascii="Arial" w:hAnsi="Arial" w:cs="Arial"/>
          <w:lang w:val="en-CA"/>
        </w:rPr>
        <w:t>.</w:t>
      </w:r>
    </w:p>
    <w:p w14:paraId="610CA8C5" w14:textId="77777777" w:rsidR="006373E0" w:rsidRPr="00F61C1C" w:rsidRDefault="006373E0" w:rsidP="00F61C1C">
      <w:pPr>
        <w:jc w:val="both"/>
        <w:rPr>
          <w:rFonts w:ascii="Arial" w:hAnsi="Arial" w:cs="Arial"/>
          <w:lang w:val="en-CA"/>
        </w:rPr>
      </w:pPr>
    </w:p>
    <w:p w14:paraId="1ACB728C" w14:textId="7136C769" w:rsidR="00F61C1C" w:rsidRDefault="00F61C1C" w:rsidP="00F61C1C">
      <w:pPr>
        <w:jc w:val="both"/>
        <w:rPr>
          <w:rFonts w:ascii="Arial" w:hAnsi="Arial" w:cs="Arial"/>
          <w:lang w:val="en-CA"/>
        </w:rPr>
      </w:pPr>
      <w:r w:rsidRPr="00F61C1C">
        <w:rPr>
          <w:rFonts w:ascii="Arial" w:hAnsi="Arial" w:cs="Arial"/>
          <w:lang w:val="en-CA"/>
        </w:rPr>
        <w:t>SCMs can react with calcium hydroxide released during Portland cement hydration to form additional calcium silicate hydrate (C</w:t>
      </w:r>
      <w:r w:rsidR="00F413A1">
        <w:rPr>
          <w:rFonts w:ascii="Arial" w:hAnsi="Arial" w:cs="Arial"/>
          <w:lang w:val="en-CA"/>
        </w:rPr>
        <w:t>-</w:t>
      </w:r>
      <w:r w:rsidRPr="00F61C1C">
        <w:rPr>
          <w:rFonts w:ascii="Arial" w:hAnsi="Arial" w:cs="Arial"/>
          <w:lang w:val="en-CA"/>
        </w:rPr>
        <w:t>S</w:t>
      </w:r>
      <w:r w:rsidR="00F413A1">
        <w:rPr>
          <w:rFonts w:ascii="Arial" w:hAnsi="Arial" w:cs="Arial"/>
          <w:lang w:val="en-CA"/>
        </w:rPr>
        <w:t>-</w:t>
      </w:r>
      <w:r w:rsidRPr="00F61C1C">
        <w:rPr>
          <w:rFonts w:ascii="Arial" w:hAnsi="Arial" w:cs="Arial"/>
          <w:lang w:val="en-CA"/>
        </w:rPr>
        <w:t>H) phases, thereby densifying the microstructure and improving binder performance in blended systems</w:t>
      </w:r>
      <w:r w:rsidR="003B5C76">
        <w:rPr>
          <w:rFonts w:ascii="Arial" w:hAnsi="Arial" w:cs="Arial"/>
          <w:vertAlign w:val="superscript"/>
          <w:lang w:val="en-CA"/>
        </w:rPr>
        <w:t xml:space="preserve"> </w:t>
      </w:r>
      <w:r w:rsidR="003B5C76">
        <w:rPr>
          <w:rFonts w:ascii="Arial" w:hAnsi="Arial" w:cs="Arial"/>
          <w:lang w:val="en-CA"/>
        </w:rPr>
        <w:t>[1,2]</w:t>
      </w:r>
      <w:r w:rsidRPr="00F61C1C">
        <w:rPr>
          <w:rFonts w:ascii="Arial" w:hAnsi="Arial" w:cs="Arial"/>
          <w:lang w:val="en-CA"/>
        </w:rPr>
        <w:t>. Their latent hydraulic or pozzolanic behavior depends on chemical composition, glass content, and fineness, which govern reaction kinetics and long-term strength development</w:t>
      </w:r>
      <w:r w:rsidR="003B5C76">
        <w:rPr>
          <w:rFonts w:ascii="Arial" w:hAnsi="Arial" w:cs="Arial"/>
          <w:vertAlign w:val="superscript"/>
          <w:lang w:val="en-CA"/>
        </w:rPr>
        <w:t xml:space="preserve"> </w:t>
      </w:r>
      <w:r w:rsidR="003B5C76">
        <w:rPr>
          <w:rFonts w:ascii="Arial" w:hAnsi="Arial" w:cs="Arial"/>
          <w:lang w:val="en-CA"/>
        </w:rPr>
        <w:t>[1]</w:t>
      </w:r>
      <w:r w:rsidRPr="00F61C1C">
        <w:rPr>
          <w:rFonts w:ascii="Arial" w:hAnsi="Arial" w:cs="Arial"/>
          <w:lang w:val="en-CA"/>
        </w:rPr>
        <w:t>.</w:t>
      </w:r>
    </w:p>
    <w:p w14:paraId="2847BECC" w14:textId="77777777" w:rsidR="006373E0" w:rsidRPr="00F61C1C" w:rsidRDefault="006373E0" w:rsidP="00F61C1C">
      <w:pPr>
        <w:jc w:val="both"/>
        <w:rPr>
          <w:rFonts w:ascii="Arial" w:hAnsi="Arial" w:cs="Arial"/>
          <w:lang w:val="en-CA"/>
        </w:rPr>
      </w:pPr>
    </w:p>
    <w:p w14:paraId="09F6157E" w14:textId="67B4BC6C" w:rsidR="00F61C1C" w:rsidRDefault="00F61C1C" w:rsidP="00F61C1C">
      <w:pPr>
        <w:jc w:val="both"/>
        <w:rPr>
          <w:rFonts w:ascii="Arial" w:hAnsi="Arial" w:cs="Arial"/>
          <w:lang w:val="en-CA"/>
        </w:rPr>
      </w:pPr>
      <w:r w:rsidRPr="00F61C1C">
        <w:rPr>
          <w:rFonts w:ascii="Arial" w:hAnsi="Arial" w:cs="Arial"/>
          <w:lang w:val="en-CA"/>
        </w:rPr>
        <w:t>Several mechanisms explain why fly ash and slag mitigate alkali</w:t>
      </w:r>
      <w:r w:rsidR="00015122">
        <w:rPr>
          <w:rFonts w:ascii="Arial" w:hAnsi="Arial" w:cs="Arial"/>
          <w:lang w:val="en-CA"/>
        </w:rPr>
        <w:t>-</w:t>
      </w:r>
      <w:r w:rsidRPr="00F61C1C">
        <w:rPr>
          <w:rFonts w:ascii="Arial" w:hAnsi="Arial" w:cs="Arial"/>
          <w:lang w:val="en-CA"/>
        </w:rPr>
        <w:t>silica reaction (ASR) expansion, including alkali binding within hydration products, reduced pore solution alkalinity, refined pore structure leading to lower permeability, and reduced silica dissolution rate</w:t>
      </w:r>
      <w:r w:rsidR="003B5C76">
        <w:rPr>
          <w:rFonts w:ascii="Arial" w:hAnsi="Arial" w:cs="Arial"/>
          <w:lang w:val="en-CA"/>
        </w:rPr>
        <w:t>s [4,5]</w:t>
      </w:r>
      <w:r w:rsidRPr="00F61C1C">
        <w:rPr>
          <w:rFonts w:ascii="Arial" w:hAnsi="Arial" w:cs="Arial"/>
          <w:lang w:val="en-CA"/>
        </w:rPr>
        <w:t>. Experimental studies indicate that fly ash and slag replacements reduce ASR expansion even in high-alkali systems and represent effective mitigation strategie</w:t>
      </w:r>
      <w:r w:rsidR="003B5C76">
        <w:rPr>
          <w:rFonts w:ascii="Arial" w:hAnsi="Arial" w:cs="Arial"/>
          <w:lang w:val="en-CA"/>
        </w:rPr>
        <w:t>s [4-6]</w:t>
      </w:r>
      <w:r w:rsidRPr="00F61C1C">
        <w:rPr>
          <w:rFonts w:ascii="Arial" w:hAnsi="Arial" w:cs="Arial"/>
          <w:lang w:val="en-CA"/>
        </w:rPr>
        <w:t>.</w:t>
      </w:r>
    </w:p>
    <w:p w14:paraId="437F1F74" w14:textId="77777777" w:rsidR="006373E0" w:rsidRPr="00F61C1C" w:rsidRDefault="006373E0" w:rsidP="00F61C1C">
      <w:pPr>
        <w:jc w:val="both"/>
        <w:rPr>
          <w:rFonts w:ascii="Arial" w:hAnsi="Arial" w:cs="Arial"/>
          <w:lang w:val="en-CA"/>
        </w:rPr>
      </w:pPr>
    </w:p>
    <w:p w14:paraId="40A331D4" w14:textId="0F83308A" w:rsidR="00F61C1C" w:rsidRPr="00F61C1C" w:rsidRDefault="00F61C1C" w:rsidP="00F61C1C">
      <w:pPr>
        <w:jc w:val="both"/>
        <w:rPr>
          <w:rFonts w:ascii="Arial" w:hAnsi="Arial" w:cs="Arial"/>
          <w:lang w:val="en-CA"/>
        </w:rPr>
      </w:pPr>
      <w:r w:rsidRPr="00F61C1C">
        <w:rPr>
          <w:rFonts w:ascii="Arial" w:hAnsi="Arial" w:cs="Arial"/>
          <w:lang w:val="en-CA"/>
        </w:rPr>
        <w:t xml:space="preserve">Granulated platinum slag (GPS), produced through rapid quenching of molten slag, contains a high proportion of amorphous aluminosilicate phases. The </w:t>
      </w:r>
      <w:r w:rsidR="006B274C">
        <w:rPr>
          <w:rFonts w:ascii="Arial" w:hAnsi="Arial" w:cs="Arial"/>
          <w:lang w:val="en-CA"/>
        </w:rPr>
        <w:t>GPS</w:t>
      </w:r>
      <w:r w:rsidRPr="00F61C1C">
        <w:rPr>
          <w:rFonts w:ascii="Arial" w:hAnsi="Arial" w:cs="Arial"/>
          <w:lang w:val="en-CA"/>
        </w:rPr>
        <w:t xml:space="preserve"> material evaluated in this work contains approximately 54</w:t>
      </w:r>
      <w:r w:rsidR="007345B7">
        <w:rPr>
          <w:rFonts w:ascii="Arial" w:hAnsi="Arial" w:cs="Arial"/>
          <w:lang w:val="en-CA"/>
        </w:rPr>
        <w:t> </w:t>
      </w:r>
      <w:r w:rsidRPr="00F61C1C">
        <w:rPr>
          <w:rFonts w:ascii="Arial" w:hAnsi="Arial" w:cs="Arial"/>
          <w:lang w:val="en-CA"/>
        </w:rPr>
        <w:t xml:space="preserve">wt% </w:t>
      </w:r>
      <w:proofErr w:type="spellStart"/>
      <w:r w:rsidRPr="00F61C1C">
        <w:rPr>
          <w:rFonts w:ascii="Arial" w:hAnsi="Arial" w:cs="Arial"/>
          <w:lang w:val="en-CA"/>
        </w:rPr>
        <w:t>SiO</w:t>
      </w:r>
      <w:proofErr w:type="spellEnd"/>
      <w:r w:rsidRPr="00F61C1C">
        <w:rPr>
          <w:rFonts w:ascii="Cambria Math" w:hAnsi="Cambria Math" w:cs="Cambria Math"/>
          <w:lang w:val="en-CA"/>
        </w:rPr>
        <w:t>₂</w:t>
      </w:r>
      <w:r w:rsidRPr="00F61C1C">
        <w:rPr>
          <w:rFonts w:ascii="Arial" w:hAnsi="Arial" w:cs="Arial"/>
          <w:lang w:val="en-CA"/>
        </w:rPr>
        <w:t xml:space="preserve">, </w:t>
      </w:r>
      <w:r w:rsidR="00DB22FC">
        <w:rPr>
          <w:rFonts w:ascii="Arial" w:hAnsi="Arial" w:cs="Arial"/>
          <w:lang w:val="en-CA"/>
        </w:rPr>
        <w:t>5</w:t>
      </w:r>
      <w:r w:rsidR="009647C2">
        <w:rPr>
          <w:rFonts w:ascii="Arial" w:hAnsi="Arial" w:cs="Arial"/>
          <w:lang w:val="en-CA"/>
        </w:rPr>
        <w:t> </w:t>
      </w:r>
      <w:r w:rsidRPr="00F61C1C">
        <w:rPr>
          <w:rFonts w:ascii="Arial" w:hAnsi="Arial" w:cs="Arial"/>
          <w:lang w:val="en-CA"/>
        </w:rPr>
        <w:t xml:space="preserve">wt% </w:t>
      </w:r>
      <w:proofErr w:type="spellStart"/>
      <w:r w:rsidRPr="00F61C1C">
        <w:rPr>
          <w:rFonts w:ascii="Arial" w:hAnsi="Arial" w:cs="Arial"/>
          <w:lang w:val="en-CA"/>
        </w:rPr>
        <w:t>Al</w:t>
      </w:r>
      <w:r w:rsidRPr="00F61C1C">
        <w:rPr>
          <w:rFonts w:ascii="Cambria Math" w:hAnsi="Cambria Math" w:cs="Cambria Math"/>
          <w:lang w:val="en-CA"/>
        </w:rPr>
        <w:t>₂</w:t>
      </w:r>
      <w:r w:rsidRPr="00F61C1C">
        <w:rPr>
          <w:rFonts w:ascii="Arial" w:hAnsi="Arial" w:cs="Arial"/>
          <w:lang w:val="en-CA"/>
        </w:rPr>
        <w:t>O</w:t>
      </w:r>
      <w:proofErr w:type="spellEnd"/>
      <w:r w:rsidRPr="00F61C1C">
        <w:rPr>
          <w:rFonts w:ascii="Cambria Math" w:hAnsi="Cambria Math" w:cs="Cambria Math"/>
          <w:lang w:val="en-CA"/>
        </w:rPr>
        <w:t>₃</w:t>
      </w:r>
      <w:r w:rsidRPr="00F61C1C">
        <w:rPr>
          <w:rFonts w:ascii="Arial" w:hAnsi="Arial" w:cs="Arial"/>
          <w:lang w:val="en-CA"/>
        </w:rPr>
        <w:t xml:space="preserve">, </w:t>
      </w:r>
      <w:r w:rsidR="006F0115">
        <w:rPr>
          <w:rFonts w:ascii="Arial" w:hAnsi="Arial" w:cs="Arial"/>
          <w:lang w:val="en-CA"/>
        </w:rPr>
        <w:t>1</w:t>
      </w:r>
      <w:r w:rsidR="00C016EB">
        <w:rPr>
          <w:rFonts w:ascii="Arial" w:hAnsi="Arial" w:cs="Arial"/>
          <w:lang w:val="en-CA"/>
        </w:rPr>
        <w:t>1</w:t>
      </w:r>
      <w:r w:rsidR="009647C2">
        <w:rPr>
          <w:rFonts w:ascii="Arial" w:hAnsi="Arial" w:cs="Arial"/>
          <w:lang w:val="en-CA"/>
        </w:rPr>
        <w:t> </w:t>
      </w:r>
      <w:r w:rsidRPr="00F61C1C">
        <w:rPr>
          <w:rFonts w:ascii="Arial" w:hAnsi="Arial" w:cs="Arial"/>
          <w:lang w:val="en-CA"/>
        </w:rPr>
        <w:t xml:space="preserve">wt% </w:t>
      </w:r>
      <w:proofErr w:type="spellStart"/>
      <w:r w:rsidRPr="00F61C1C">
        <w:rPr>
          <w:rFonts w:ascii="Arial" w:hAnsi="Arial" w:cs="Arial"/>
          <w:lang w:val="en-CA"/>
        </w:rPr>
        <w:t>Fe</w:t>
      </w:r>
      <w:r w:rsidRPr="00F61C1C">
        <w:rPr>
          <w:rFonts w:ascii="Cambria Math" w:hAnsi="Cambria Math" w:cs="Cambria Math"/>
          <w:lang w:val="en-CA"/>
        </w:rPr>
        <w:t>₂</w:t>
      </w:r>
      <w:r w:rsidRPr="00F61C1C">
        <w:rPr>
          <w:rFonts w:ascii="Arial" w:hAnsi="Arial" w:cs="Arial"/>
          <w:lang w:val="en-CA"/>
        </w:rPr>
        <w:t>O</w:t>
      </w:r>
      <w:proofErr w:type="spellEnd"/>
      <w:r w:rsidRPr="00F61C1C">
        <w:rPr>
          <w:rFonts w:ascii="Cambria Math" w:hAnsi="Cambria Math" w:cs="Cambria Math"/>
          <w:lang w:val="en-CA"/>
        </w:rPr>
        <w:t>₃</w:t>
      </w:r>
      <w:r w:rsidRPr="00F61C1C">
        <w:rPr>
          <w:rFonts w:ascii="Arial" w:hAnsi="Arial" w:cs="Arial"/>
          <w:lang w:val="en-CA"/>
        </w:rPr>
        <w:t>, and 21</w:t>
      </w:r>
      <w:r w:rsidR="009647C2">
        <w:rPr>
          <w:rFonts w:ascii="Arial" w:hAnsi="Arial" w:cs="Arial"/>
          <w:lang w:val="en-CA"/>
        </w:rPr>
        <w:t> </w:t>
      </w:r>
      <w:r w:rsidRPr="00F61C1C">
        <w:rPr>
          <w:rFonts w:ascii="Arial" w:hAnsi="Arial" w:cs="Arial"/>
          <w:lang w:val="en-CA"/>
        </w:rPr>
        <w:t>wt% MgO, with measured glass content between 85–88%. Although elevated MgO levels may raise concerns regarding delayed expansion, autoclave testing confirms mineralogical stability of magnesium phases in this system.</w:t>
      </w:r>
    </w:p>
    <w:p w14:paraId="6B8C2F7E" w14:textId="77777777" w:rsidR="00F61C1C" w:rsidRDefault="00F61C1C" w:rsidP="00A31B52">
      <w:pPr>
        <w:rPr>
          <w:rFonts w:ascii="Arial" w:hAnsi="Arial" w:cs="Arial"/>
          <w:lang w:val="en-CA"/>
        </w:rPr>
      </w:pPr>
    </w:p>
    <w:p w14:paraId="3184F467" w14:textId="070F285D" w:rsidR="005E51E0" w:rsidRDefault="00A31B52" w:rsidP="00A31B52">
      <w:pPr>
        <w:rPr>
          <w:rFonts w:ascii="Arial" w:hAnsi="Arial" w:cs="Arial"/>
          <w:lang w:val="en-CA"/>
        </w:rPr>
      </w:pPr>
      <w:r w:rsidRPr="00A31B52">
        <w:rPr>
          <w:rFonts w:ascii="Arial" w:hAnsi="Arial" w:cs="Arial"/>
          <w:lang w:val="en-CA"/>
        </w:rPr>
        <w:t>This study evaluates two valorization strategies:</w:t>
      </w:r>
    </w:p>
    <w:p w14:paraId="13AB2B81" w14:textId="5859FAED" w:rsidR="005E51E0" w:rsidRDefault="00A31B52" w:rsidP="005E51E0">
      <w:pPr>
        <w:pStyle w:val="ListParagraph"/>
        <w:numPr>
          <w:ilvl w:val="0"/>
          <w:numId w:val="19"/>
        </w:numPr>
        <w:rPr>
          <w:rFonts w:ascii="Arial" w:hAnsi="Arial" w:cs="Arial"/>
          <w:lang w:val="en-CA"/>
        </w:rPr>
      </w:pPr>
      <w:r w:rsidRPr="005E51E0">
        <w:rPr>
          <w:rFonts w:ascii="Arial" w:hAnsi="Arial" w:cs="Arial"/>
          <w:lang w:val="en-CA"/>
        </w:rPr>
        <w:t>GPS as a fine aggregate replacement</w:t>
      </w:r>
    </w:p>
    <w:p w14:paraId="63135220" w14:textId="7C016E3F" w:rsidR="00491D47" w:rsidRPr="00B10CB8" w:rsidRDefault="00A31B52" w:rsidP="00B10CB8">
      <w:pPr>
        <w:pStyle w:val="ListParagraph"/>
        <w:numPr>
          <w:ilvl w:val="0"/>
          <w:numId w:val="19"/>
        </w:numPr>
        <w:spacing w:after="240"/>
        <w:rPr>
          <w:rFonts w:ascii="Arial" w:hAnsi="Arial" w:cs="Arial"/>
          <w:lang w:val="en-CA"/>
        </w:rPr>
      </w:pPr>
      <w:r w:rsidRPr="005E51E0">
        <w:rPr>
          <w:rFonts w:ascii="Arial" w:hAnsi="Arial" w:cs="Arial"/>
          <w:lang w:val="en-CA"/>
        </w:rPr>
        <w:t>Ground granulated platinum slag (GGPS) as a 30% OPC replacement</w:t>
      </w:r>
    </w:p>
    <w:p w14:paraId="4A21DB8F" w14:textId="457BFB32" w:rsidR="00DE0524" w:rsidRPr="00016DD3" w:rsidRDefault="00F7640D" w:rsidP="009F15A3">
      <w:pPr>
        <w:pStyle w:val="Heading2"/>
        <w:spacing w:after="120"/>
      </w:pPr>
      <w:r>
        <w:t>METHODS</w:t>
      </w:r>
    </w:p>
    <w:p w14:paraId="24C33CB0" w14:textId="54DAEACE" w:rsidR="00DE0524" w:rsidRPr="00DE0524" w:rsidRDefault="00DE0524" w:rsidP="00B10CB8">
      <w:pPr>
        <w:spacing w:after="120"/>
        <w:rPr>
          <w:rFonts w:ascii="Arial" w:hAnsi="Arial" w:cs="Arial"/>
          <w:b/>
          <w:bCs/>
        </w:rPr>
      </w:pPr>
      <w:r w:rsidRPr="00DE0524">
        <w:rPr>
          <w:rFonts w:ascii="Arial" w:hAnsi="Arial" w:cs="Arial"/>
          <w:b/>
          <w:bCs/>
        </w:rPr>
        <w:t>Raw Material Characterization</w:t>
      </w:r>
    </w:p>
    <w:p w14:paraId="61089F71" w14:textId="1E5CCA81" w:rsidR="00913EDD" w:rsidRPr="00016DD3" w:rsidRDefault="00016DD3" w:rsidP="00B10CB8">
      <w:pPr>
        <w:tabs>
          <w:tab w:val="left" w:pos="0"/>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spacing w:after="120"/>
        <w:jc w:val="both"/>
        <w:rPr>
          <w:rFonts w:ascii="Arial" w:hAnsi="Arial" w:cs="Arial"/>
          <w:szCs w:val="24"/>
          <w:lang w:val="en-CA"/>
        </w:rPr>
      </w:pPr>
      <w:r w:rsidRPr="00016DD3">
        <w:rPr>
          <w:rFonts w:ascii="Arial" w:hAnsi="Arial" w:cs="Arial"/>
          <w:szCs w:val="24"/>
          <w:lang w:val="en-CA"/>
        </w:rPr>
        <w:t>Granulated slag was sieved to obtain the &lt;0.5 mm fraction for aggregate substitution studies.</w:t>
      </w:r>
      <w:r>
        <w:rPr>
          <w:rFonts w:ascii="Arial" w:hAnsi="Arial" w:cs="Arial"/>
          <w:szCs w:val="24"/>
          <w:lang w:val="en-CA"/>
        </w:rPr>
        <w:t xml:space="preserve"> </w:t>
      </w:r>
      <w:r w:rsidRPr="00016DD3">
        <w:rPr>
          <w:rFonts w:ascii="Arial" w:hAnsi="Arial" w:cs="Arial"/>
          <w:szCs w:val="24"/>
          <w:lang w:val="en-CA"/>
        </w:rPr>
        <w:t>GGPS was produced by ball milling to a Blaine fineness of 441 m²/kg, exceeding that of OPC (341 m²/kg) and fly ash (365 m²/kg). Specific gravity of GGPS was measured at 2.84.</w:t>
      </w:r>
    </w:p>
    <w:p w14:paraId="0F28F7E2" w14:textId="0E86ACBB" w:rsidR="00913EDD" w:rsidRPr="00016DD3" w:rsidRDefault="009B2C1B" w:rsidP="00B10CB8">
      <w:pPr>
        <w:tabs>
          <w:tab w:val="left" w:pos="0"/>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spacing w:after="120"/>
        <w:jc w:val="both"/>
        <w:rPr>
          <w:rFonts w:ascii="Arial" w:hAnsi="Arial" w:cs="Arial"/>
          <w:b/>
          <w:bCs/>
          <w:szCs w:val="24"/>
          <w:lang w:val="en-CA"/>
        </w:rPr>
      </w:pPr>
      <w:r w:rsidRPr="009B2C1B">
        <w:rPr>
          <w:rFonts w:ascii="Arial" w:hAnsi="Arial" w:cs="Arial"/>
          <w:b/>
          <w:bCs/>
          <w:szCs w:val="24"/>
          <w:lang w:val="en-CA"/>
        </w:rPr>
        <w:t>Mix Design</w:t>
      </w:r>
    </w:p>
    <w:p w14:paraId="49680DA3" w14:textId="6F742E5D" w:rsidR="009B2C1B" w:rsidRPr="009B2C1B" w:rsidRDefault="009B2C1B" w:rsidP="009B2C1B">
      <w:pPr>
        <w:tabs>
          <w:tab w:val="left" w:pos="0"/>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jc w:val="both"/>
        <w:rPr>
          <w:rFonts w:ascii="Arial" w:hAnsi="Arial" w:cs="Arial"/>
          <w:szCs w:val="24"/>
          <w:lang w:val="en-CA"/>
        </w:rPr>
      </w:pPr>
      <w:r w:rsidRPr="009B2C1B">
        <w:rPr>
          <w:rFonts w:ascii="Arial" w:hAnsi="Arial" w:cs="Arial"/>
          <w:szCs w:val="24"/>
          <w:lang w:val="en-CA"/>
        </w:rPr>
        <w:t xml:space="preserve">Three mortar series were </w:t>
      </w:r>
      <w:r w:rsidR="00016DD3">
        <w:rPr>
          <w:rFonts w:ascii="Arial" w:hAnsi="Arial" w:cs="Arial"/>
          <w:szCs w:val="24"/>
          <w:lang w:val="en-CA"/>
        </w:rPr>
        <w:t>prepared</w:t>
      </w:r>
      <w:r w:rsidRPr="009B2C1B">
        <w:rPr>
          <w:rFonts w:ascii="Arial" w:hAnsi="Arial" w:cs="Arial"/>
          <w:szCs w:val="24"/>
          <w:lang w:val="en-CA"/>
        </w:rPr>
        <w:t>:</w:t>
      </w:r>
    </w:p>
    <w:p w14:paraId="37E009DF" w14:textId="3E479468" w:rsidR="009B2C1B" w:rsidRPr="00EB5828" w:rsidRDefault="009B2C1B" w:rsidP="00B97D4C">
      <w:pPr>
        <w:pStyle w:val="ListParagraph"/>
        <w:numPr>
          <w:ilvl w:val="0"/>
          <w:numId w:val="15"/>
        </w:numPr>
        <w:tabs>
          <w:tab w:val="left" w:pos="0"/>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rPr>
          <w:rFonts w:ascii="Arial" w:hAnsi="Arial" w:cs="Arial"/>
          <w:szCs w:val="24"/>
          <w:lang w:val="en-CA"/>
        </w:rPr>
      </w:pPr>
      <w:r w:rsidRPr="00EB5828">
        <w:rPr>
          <w:rFonts w:ascii="Arial" w:hAnsi="Arial" w:cs="Arial"/>
          <w:b/>
          <w:bCs/>
          <w:szCs w:val="24"/>
          <w:lang w:val="en-CA"/>
        </w:rPr>
        <w:t>Series A:</w:t>
      </w:r>
      <w:r w:rsidRPr="00EB5828">
        <w:rPr>
          <w:rFonts w:ascii="Arial" w:hAnsi="Arial" w:cs="Arial"/>
          <w:szCs w:val="24"/>
          <w:lang w:val="en-CA"/>
        </w:rPr>
        <w:t xml:space="preserve"> </w:t>
      </w:r>
      <w:r w:rsidR="00F8799F" w:rsidRPr="00F8799F">
        <w:rPr>
          <w:rFonts w:ascii="Arial" w:hAnsi="Arial" w:cs="Arial"/>
          <w:szCs w:val="24"/>
        </w:rPr>
        <w:t>OPC binder with 0–100% sand replacement by GPS</w:t>
      </w:r>
    </w:p>
    <w:p w14:paraId="293EC139" w14:textId="77777777" w:rsidR="00CD6038" w:rsidRPr="00CD6038" w:rsidRDefault="009B2C1B" w:rsidP="00CD6038">
      <w:pPr>
        <w:pStyle w:val="ListParagraph"/>
        <w:numPr>
          <w:ilvl w:val="0"/>
          <w:numId w:val="15"/>
        </w:numPr>
        <w:tabs>
          <w:tab w:val="left" w:pos="0"/>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rPr>
          <w:rFonts w:ascii="Arial" w:hAnsi="Arial" w:cs="Arial"/>
          <w:szCs w:val="24"/>
          <w:lang w:val="en-CA"/>
        </w:rPr>
      </w:pPr>
      <w:r w:rsidRPr="00EB5828">
        <w:rPr>
          <w:rFonts w:ascii="Arial" w:hAnsi="Arial" w:cs="Arial"/>
          <w:b/>
          <w:bCs/>
          <w:szCs w:val="24"/>
          <w:lang w:val="en-CA"/>
        </w:rPr>
        <w:t>Series B:</w:t>
      </w:r>
      <w:r w:rsidRPr="00EB5828">
        <w:rPr>
          <w:rFonts w:ascii="Arial" w:hAnsi="Arial" w:cs="Arial"/>
          <w:szCs w:val="24"/>
          <w:lang w:val="en-CA"/>
        </w:rPr>
        <w:t xml:space="preserve"> </w:t>
      </w:r>
      <w:r w:rsidR="00C55E2C" w:rsidRPr="00C55E2C">
        <w:rPr>
          <w:rFonts w:ascii="Arial" w:hAnsi="Arial" w:cs="Arial"/>
          <w:szCs w:val="24"/>
        </w:rPr>
        <w:t>70% OPC + 30% fly ash binder with GPS sand replacement</w:t>
      </w:r>
    </w:p>
    <w:p w14:paraId="53391D8B" w14:textId="7DD32BA8" w:rsidR="009B2C1B" w:rsidRPr="00CD6038" w:rsidRDefault="009B2C1B" w:rsidP="00CD6038">
      <w:pPr>
        <w:pStyle w:val="ListParagraph"/>
        <w:numPr>
          <w:ilvl w:val="0"/>
          <w:numId w:val="15"/>
        </w:numPr>
        <w:tabs>
          <w:tab w:val="left" w:pos="0"/>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rPr>
          <w:rFonts w:ascii="Arial" w:hAnsi="Arial" w:cs="Arial"/>
          <w:szCs w:val="24"/>
          <w:lang w:val="en-CA"/>
        </w:rPr>
      </w:pPr>
      <w:r w:rsidRPr="00CD6038">
        <w:rPr>
          <w:rFonts w:ascii="Arial" w:hAnsi="Arial" w:cs="Arial"/>
          <w:b/>
          <w:bCs/>
          <w:szCs w:val="24"/>
          <w:lang w:val="en-CA"/>
        </w:rPr>
        <w:t>Series C:</w:t>
      </w:r>
      <w:r w:rsidRPr="00CD6038">
        <w:rPr>
          <w:rFonts w:ascii="Arial" w:hAnsi="Arial" w:cs="Arial"/>
          <w:szCs w:val="24"/>
          <w:lang w:val="en-CA"/>
        </w:rPr>
        <w:t xml:space="preserve"> </w:t>
      </w:r>
      <w:r w:rsidR="00C55E2C" w:rsidRPr="00CD6038">
        <w:rPr>
          <w:rFonts w:ascii="Arial" w:hAnsi="Arial" w:cs="Arial"/>
          <w:szCs w:val="24"/>
        </w:rPr>
        <w:t>70% OPC + 30% GGPS binder with GPS sand replacement</w:t>
      </w:r>
    </w:p>
    <w:p w14:paraId="7B3D6050" w14:textId="3EB1E2D0" w:rsidR="00913EDD" w:rsidRPr="00016DD3" w:rsidRDefault="009B2C1B" w:rsidP="00016DD3">
      <w:pPr>
        <w:tabs>
          <w:tab w:val="left" w:pos="0"/>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spacing w:after="240"/>
        <w:jc w:val="both"/>
        <w:rPr>
          <w:rFonts w:ascii="Arial" w:hAnsi="Arial" w:cs="Arial"/>
          <w:szCs w:val="24"/>
          <w:lang w:val="en-CA"/>
        </w:rPr>
      </w:pPr>
      <w:r w:rsidRPr="009B2C1B">
        <w:rPr>
          <w:rFonts w:ascii="Arial" w:hAnsi="Arial" w:cs="Arial"/>
          <w:szCs w:val="24"/>
          <w:lang w:val="en-CA"/>
        </w:rPr>
        <w:t xml:space="preserve">Water-to-binder </w:t>
      </w:r>
      <w:r w:rsidR="00016DD3">
        <w:rPr>
          <w:rFonts w:ascii="Arial" w:hAnsi="Arial" w:cs="Arial"/>
          <w:szCs w:val="24"/>
          <w:lang w:val="en-CA"/>
        </w:rPr>
        <w:t xml:space="preserve">(W/B) </w:t>
      </w:r>
      <w:r w:rsidRPr="009B2C1B">
        <w:rPr>
          <w:rFonts w:ascii="Arial" w:hAnsi="Arial" w:cs="Arial"/>
          <w:szCs w:val="24"/>
          <w:lang w:val="en-CA"/>
        </w:rPr>
        <w:t>ratios were adjusted to meet ASTM C1437 flow requirements.</w:t>
      </w:r>
    </w:p>
    <w:p w14:paraId="1B483178" w14:textId="4F514127" w:rsidR="009B2C1B" w:rsidRPr="009B2C1B" w:rsidRDefault="009B2C1B" w:rsidP="00B10CB8">
      <w:pPr>
        <w:tabs>
          <w:tab w:val="left" w:pos="0"/>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spacing w:after="120"/>
        <w:jc w:val="both"/>
        <w:rPr>
          <w:rFonts w:ascii="Arial" w:hAnsi="Arial" w:cs="Arial"/>
          <w:b/>
          <w:bCs/>
          <w:szCs w:val="24"/>
          <w:lang w:val="en-CA"/>
        </w:rPr>
      </w:pPr>
      <w:r w:rsidRPr="009B2C1B">
        <w:rPr>
          <w:rFonts w:ascii="Arial" w:hAnsi="Arial" w:cs="Arial"/>
          <w:b/>
          <w:bCs/>
          <w:szCs w:val="24"/>
          <w:lang w:val="en-CA"/>
        </w:rPr>
        <w:t>Performance Testing</w:t>
      </w:r>
    </w:p>
    <w:p w14:paraId="3B9E86B6" w14:textId="4A88714C" w:rsidR="009B2C1B" w:rsidRPr="009B2C1B" w:rsidRDefault="00016DD3" w:rsidP="009B2C1B">
      <w:pPr>
        <w:tabs>
          <w:tab w:val="left" w:pos="0"/>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jc w:val="both"/>
        <w:rPr>
          <w:rFonts w:ascii="Arial" w:hAnsi="Arial" w:cs="Arial"/>
          <w:szCs w:val="24"/>
          <w:lang w:val="en-CA"/>
        </w:rPr>
      </w:pPr>
      <w:r>
        <w:rPr>
          <w:rFonts w:ascii="Arial" w:hAnsi="Arial" w:cs="Arial"/>
          <w:szCs w:val="24"/>
          <w:lang w:val="en-CA"/>
        </w:rPr>
        <w:t>Mortars were evaluated according to ASTM standards</w:t>
      </w:r>
      <w:r w:rsidR="009B2C1B" w:rsidRPr="009B2C1B">
        <w:rPr>
          <w:rFonts w:ascii="Arial" w:hAnsi="Arial" w:cs="Arial"/>
          <w:szCs w:val="24"/>
          <w:lang w:val="en-CA"/>
        </w:rPr>
        <w:t>:</w:t>
      </w:r>
    </w:p>
    <w:p w14:paraId="4BA2BDD9" w14:textId="77777777" w:rsidR="009B2C1B" w:rsidRPr="00EB5828" w:rsidRDefault="009B2C1B" w:rsidP="00EB5828">
      <w:pPr>
        <w:pStyle w:val="ListParagraph"/>
        <w:numPr>
          <w:ilvl w:val="0"/>
          <w:numId w:val="16"/>
        </w:numPr>
        <w:tabs>
          <w:tab w:val="left" w:pos="0"/>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jc w:val="both"/>
        <w:rPr>
          <w:rFonts w:ascii="Arial" w:hAnsi="Arial" w:cs="Arial"/>
          <w:szCs w:val="24"/>
          <w:lang w:val="en-CA"/>
        </w:rPr>
      </w:pPr>
      <w:r w:rsidRPr="00EB5828">
        <w:rPr>
          <w:rFonts w:ascii="Arial" w:hAnsi="Arial" w:cs="Arial"/>
          <w:szCs w:val="24"/>
          <w:lang w:val="en-CA"/>
        </w:rPr>
        <w:t>Compressive strength (ASTM C109)</w:t>
      </w:r>
    </w:p>
    <w:p w14:paraId="3D59FD7B" w14:textId="77777777" w:rsidR="009B2C1B" w:rsidRPr="00EB5828" w:rsidRDefault="009B2C1B" w:rsidP="00EB5828">
      <w:pPr>
        <w:pStyle w:val="ListParagraph"/>
        <w:numPr>
          <w:ilvl w:val="0"/>
          <w:numId w:val="16"/>
        </w:numPr>
        <w:tabs>
          <w:tab w:val="left" w:pos="0"/>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jc w:val="both"/>
        <w:rPr>
          <w:rFonts w:ascii="Arial" w:hAnsi="Arial" w:cs="Arial"/>
          <w:szCs w:val="24"/>
          <w:lang w:val="en-CA"/>
        </w:rPr>
      </w:pPr>
      <w:r w:rsidRPr="00EB5828">
        <w:rPr>
          <w:rFonts w:ascii="Arial" w:hAnsi="Arial" w:cs="Arial"/>
          <w:szCs w:val="24"/>
          <w:lang w:val="en-CA"/>
        </w:rPr>
        <w:t>Autoclave expansion (ASTM C151)</w:t>
      </w:r>
    </w:p>
    <w:p w14:paraId="405E34BF" w14:textId="77777777" w:rsidR="009B2C1B" w:rsidRPr="00EB5828" w:rsidRDefault="009B2C1B" w:rsidP="00EB5828">
      <w:pPr>
        <w:pStyle w:val="ListParagraph"/>
        <w:numPr>
          <w:ilvl w:val="0"/>
          <w:numId w:val="16"/>
        </w:numPr>
        <w:tabs>
          <w:tab w:val="left" w:pos="0"/>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jc w:val="both"/>
        <w:rPr>
          <w:rFonts w:ascii="Arial" w:hAnsi="Arial" w:cs="Arial"/>
          <w:szCs w:val="24"/>
          <w:lang w:val="en-CA"/>
        </w:rPr>
      </w:pPr>
      <w:r w:rsidRPr="00EB5828">
        <w:rPr>
          <w:rFonts w:ascii="Arial" w:hAnsi="Arial" w:cs="Arial"/>
          <w:szCs w:val="24"/>
          <w:lang w:val="en-CA"/>
        </w:rPr>
        <w:t>Alkali-silica reactivity (ASTM C1260)</w:t>
      </w:r>
    </w:p>
    <w:p w14:paraId="791A4DCA" w14:textId="77777777" w:rsidR="009B2C1B" w:rsidRPr="00EB5828" w:rsidRDefault="009B2C1B" w:rsidP="00EB5828">
      <w:pPr>
        <w:pStyle w:val="ListParagraph"/>
        <w:numPr>
          <w:ilvl w:val="0"/>
          <w:numId w:val="16"/>
        </w:numPr>
        <w:tabs>
          <w:tab w:val="left" w:pos="0"/>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jc w:val="both"/>
        <w:rPr>
          <w:rFonts w:ascii="Arial" w:hAnsi="Arial" w:cs="Arial"/>
          <w:szCs w:val="24"/>
          <w:lang w:val="en-CA"/>
        </w:rPr>
      </w:pPr>
      <w:r w:rsidRPr="00EB5828">
        <w:rPr>
          <w:rFonts w:ascii="Arial" w:hAnsi="Arial" w:cs="Arial"/>
          <w:szCs w:val="24"/>
          <w:lang w:val="en-CA"/>
        </w:rPr>
        <w:t>Setting time (ASTM C191)</w:t>
      </w:r>
    </w:p>
    <w:p w14:paraId="23A2BC41" w14:textId="1E1CFE85" w:rsidR="00055962" w:rsidRPr="00EB5828" w:rsidRDefault="009B2C1B" w:rsidP="00016DD3">
      <w:pPr>
        <w:pStyle w:val="ListParagraph"/>
        <w:numPr>
          <w:ilvl w:val="0"/>
          <w:numId w:val="16"/>
        </w:numPr>
        <w:tabs>
          <w:tab w:val="left" w:pos="0"/>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spacing w:after="240"/>
        <w:jc w:val="both"/>
        <w:rPr>
          <w:rFonts w:ascii="Arial" w:hAnsi="Arial" w:cs="Arial"/>
          <w:szCs w:val="24"/>
          <w:lang w:val="en-CA"/>
        </w:rPr>
      </w:pPr>
      <w:r w:rsidRPr="00EB5828">
        <w:rPr>
          <w:rFonts w:ascii="Arial" w:hAnsi="Arial" w:cs="Arial"/>
          <w:szCs w:val="24"/>
          <w:lang w:val="en-CA"/>
        </w:rPr>
        <w:t>Bleeding and workability</w:t>
      </w:r>
    </w:p>
    <w:p w14:paraId="10544AAE" w14:textId="6D981A8B" w:rsidR="007F639E" w:rsidRPr="00016DD3" w:rsidRDefault="00BF3F8D" w:rsidP="009F15A3">
      <w:pPr>
        <w:pStyle w:val="Heading1"/>
        <w:spacing w:before="240" w:after="120"/>
      </w:pPr>
      <w:r w:rsidRPr="00F7640D">
        <w:t xml:space="preserve">Key findings </w:t>
      </w:r>
      <w:r w:rsidR="00F7640D">
        <w:t>|</w:t>
      </w:r>
      <w:r w:rsidRPr="00F7640D">
        <w:t xml:space="preserve"> </w:t>
      </w:r>
      <w:r w:rsidR="007F639E" w:rsidRPr="00F7640D">
        <w:t>CONCLUSIONS</w:t>
      </w:r>
    </w:p>
    <w:p w14:paraId="0BE9070B" w14:textId="77777777" w:rsidR="00CF752B" w:rsidRPr="00CF752B" w:rsidRDefault="00CF752B" w:rsidP="00B10CB8">
      <w:pPr>
        <w:tabs>
          <w:tab w:val="left" w:pos="0"/>
          <w:tab w:val="left" w:pos="566"/>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spacing w:after="120"/>
        <w:jc w:val="both"/>
        <w:rPr>
          <w:rFonts w:ascii="Arial" w:hAnsi="Arial" w:cs="Arial"/>
          <w:b/>
          <w:bCs/>
          <w:szCs w:val="24"/>
          <w:lang w:val="en-CA"/>
        </w:rPr>
      </w:pPr>
      <w:r w:rsidRPr="00CF752B">
        <w:rPr>
          <w:rFonts w:ascii="Arial" w:hAnsi="Arial" w:cs="Arial"/>
          <w:b/>
          <w:bCs/>
          <w:szCs w:val="24"/>
          <w:lang w:val="en-CA"/>
        </w:rPr>
        <w:t>MgO Stability</w:t>
      </w:r>
    </w:p>
    <w:p w14:paraId="6B712BC3" w14:textId="10E72C55" w:rsidR="002841C0" w:rsidRPr="00CF752B" w:rsidRDefault="00CF752B" w:rsidP="00016DD3">
      <w:pPr>
        <w:tabs>
          <w:tab w:val="left" w:pos="0"/>
          <w:tab w:val="left" w:pos="566"/>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spacing w:after="240"/>
        <w:jc w:val="both"/>
        <w:rPr>
          <w:rFonts w:ascii="Arial" w:hAnsi="Arial" w:cs="Arial"/>
          <w:szCs w:val="24"/>
          <w:lang w:val="en-CA"/>
        </w:rPr>
      </w:pPr>
      <w:r w:rsidRPr="00CF752B">
        <w:rPr>
          <w:rFonts w:ascii="Arial" w:hAnsi="Arial" w:cs="Arial"/>
          <w:szCs w:val="24"/>
          <w:lang w:val="en-CA"/>
        </w:rPr>
        <w:t>Despite MgO levels of ~21 wt% , autoclave expansion ranged from 0.01</w:t>
      </w:r>
      <w:r w:rsidR="009C04AF">
        <w:rPr>
          <w:rFonts w:ascii="Arial" w:hAnsi="Arial" w:cs="Arial"/>
          <w:szCs w:val="24"/>
          <w:lang w:val="en-CA"/>
        </w:rPr>
        <w:t>-</w:t>
      </w:r>
      <w:r w:rsidRPr="00CF752B">
        <w:rPr>
          <w:rFonts w:ascii="Arial" w:hAnsi="Arial" w:cs="Arial"/>
          <w:szCs w:val="24"/>
          <w:lang w:val="en-CA"/>
        </w:rPr>
        <w:t>0.04%, well below the ASTM C150 limit of 0.80%. This confirms mineralogical stability of MgO and absence of deleterious delayed expansion.</w:t>
      </w:r>
    </w:p>
    <w:p w14:paraId="5C475180" w14:textId="77777777" w:rsidR="00CF752B" w:rsidRPr="00CF752B" w:rsidRDefault="00CF752B" w:rsidP="00B10CB8">
      <w:pPr>
        <w:tabs>
          <w:tab w:val="left" w:pos="0"/>
          <w:tab w:val="left" w:pos="566"/>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spacing w:after="120"/>
        <w:jc w:val="both"/>
        <w:rPr>
          <w:rFonts w:ascii="Arial" w:hAnsi="Arial" w:cs="Arial"/>
          <w:b/>
          <w:bCs/>
          <w:szCs w:val="24"/>
          <w:lang w:val="en-CA"/>
        </w:rPr>
      </w:pPr>
      <w:r w:rsidRPr="00CF752B">
        <w:rPr>
          <w:rFonts w:ascii="Arial" w:hAnsi="Arial" w:cs="Arial"/>
          <w:b/>
          <w:bCs/>
          <w:szCs w:val="24"/>
          <w:lang w:val="en-CA"/>
        </w:rPr>
        <w:t>Compressive Strength</w:t>
      </w:r>
    </w:p>
    <w:p w14:paraId="35821783" w14:textId="250AA10C" w:rsidR="00114544" w:rsidRPr="00114544" w:rsidRDefault="00114544" w:rsidP="00B10CB8">
      <w:pPr>
        <w:tabs>
          <w:tab w:val="left" w:pos="0"/>
          <w:tab w:val="left" w:pos="566"/>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spacing w:after="120"/>
        <w:jc w:val="both"/>
        <w:rPr>
          <w:rFonts w:ascii="Arial" w:hAnsi="Arial" w:cs="Arial"/>
          <w:szCs w:val="24"/>
          <w:lang w:val="en-CA"/>
        </w:rPr>
      </w:pPr>
      <w:r w:rsidRPr="00114544">
        <w:rPr>
          <w:rFonts w:ascii="Arial" w:hAnsi="Arial" w:cs="Arial"/>
          <w:szCs w:val="24"/>
          <w:lang w:val="en-CA"/>
        </w:rPr>
        <w:t>The OPC control achieved approximately 39 MPa at 56 days. Replacement of 30% OPC with GGPS achieved comparable strength</w:t>
      </w:r>
      <w:r w:rsidR="00FD102B">
        <w:rPr>
          <w:rFonts w:ascii="Arial" w:hAnsi="Arial" w:cs="Arial"/>
          <w:szCs w:val="24"/>
          <w:lang w:val="en-CA"/>
        </w:rPr>
        <w:t xml:space="preserve"> of </w:t>
      </w:r>
      <w:r w:rsidR="00E447C4">
        <w:rPr>
          <w:rFonts w:ascii="Arial" w:hAnsi="Arial" w:cs="Arial"/>
          <w:szCs w:val="24"/>
          <w:lang w:val="en-CA"/>
        </w:rPr>
        <w:t>38 MPa</w:t>
      </w:r>
      <w:r w:rsidRPr="00114544">
        <w:rPr>
          <w:rFonts w:ascii="Arial" w:hAnsi="Arial" w:cs="Arial"/>
          <w:szCs w:val="24"/>
          <w:lang w:val="en-CA"/>
        </w:rPr>
        <w:t>, demonstrating that GGPS functions effectively as a supplementary cementitious material.</w:t>
      </w:r>
    </w:p>
    <w:p w14:paraId="5ACCBFE0" w14:textId="6BAE6ADA" w:rsidR="00114544" w:rsidRPr="00114544" w:rsidRDefault="00114544" w:rsidP="00114544">
      <w:pPr>
        <w:tabs>
          <w:tab w:val="left" w:pos="0"/>
          <w:tab w:val="left" w:pos="566"/>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spacing w:after="240"/>
        <w:jc w:val="both"/>
        <w:rPr>
          <w:rFonts w:ascii="Arial" w:hAnsi="Arial" w:cs="Arial"/>
          <w:szCs w:val="24"/>
          <w:lang w:val="en-CA"/>
        </w:rPr>
      </w:pPr>
      <w:r w:rsidRPr="00114544">
        <w:rPr>
          <w:rFonts w:ascii="Arial" w:hAnsi="Arial" w:cs="Arial"/>
          <w:szCs w:val="24"/>
          <w:lang w:val="en-CA"/>
        </w:rPr>
        <w:t>Moderate GPS sand substitution (up to approximately 50%) increased compressive strength in OPC-based systems. At 100% sand replacement, strength declined, likely due to particle segregation rather than intrinsic material limitations.</w:t>
      </w:r>
    </w:p>
    <w:p w14:paraId="45779653" w14:textId="77777777" w:rsidR="00CF752B" w:rsidRPr="00CF752B" w:rsidRDefault="00CF752B" w:rsidP="00B10CB8">
      <w:pPr>
        <w:tabs>
          <w:tab w:val="left" w:pos="0"/>
          <w:tab w:val="left" w:pos="566"/>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spacing w:after="120"/>
        <w:jc w:val="both"/>
        <w:rPr>
          <w:rFonts w:ascii="Arial" w:hAnsi="Arial" w:cs="Arial"/>
          <w:b/>
          <w:bCs/>
          <w:szCs w:val="24"/>
          <w:lang w:val="en-CA"/>
        </w:rPr>
      </w:pPr>
      <w:r w:rsidRPr="00CF752B">
        <w:rPr>
          <w:rFonts w:ascii="Arial" w:hAnsi="Arial" w:cs="Arial"/>
          <w:b/>
          <w:bCs/>
          <w:szCs w:val="24"/>
          <w:lang w:val="en-CA"/>
        </w:rPr>
        <w:t>Alkali-Silica Reactivity</w:t>
      </w:r>
    </w:p>
    <w:p w14:paraId="5BDB9791" w14:textId="77777777" w:rsidR="009C04AF" w:rsidRPr="009C04AF" w:rsidRDefault="009C04AF" w:rsidP="00B10CB8">
      <w:pPr>
        <w:tabs>
          <w:tab w:val="left" w:pos="0"/>
          <w:tab w:val="left" w:pos="566"/>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spacing w:after="120"/>
        <w:jc w:val="both"/>
        <w:rPr>
          <w:rFonts w:ascii="Arial" w:hAnsi="Arial" w:cs="Arial"/>
          <w:szCs w:val="24"/>
          <w:lang w:val="en-CA"/>
        </w:rPr>
      </w:pPr>
      <w:r w:rsidRPr="009C04AF">
        <w:rPr>
          <w:rFonts w:ascii="Arial" w:hAnsi="Arial" w:cs="Arial"/>
          <w:szCs w:val="24"/>
          <w:lang w:val="en-CA"/>
        </w:rPr>
        <w:t>GPS used as sand replacement without SCM mitigation resulted in ASR expansion exceeding 0.2%, indicating potentially deleterious behavior.</w:t>
      </w:r>
    </w:p>
    <w:p w14:paraId="1252767C" w14:textId="77777777" w:rsidR="009C04AF" w:rsidRPr="009C04AF" w:rsidRDefault="009C04AF" w:rsidP="009C04AF">
      <w:pPr>
        <w:tabs>
          <w:tab w:val="left" w:pos="0"/>
          <w:tab w:val="left" w:pos="566"/>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spacing w:after="240"/>
        <w:jc w:val="both"/>
        <w:rPr>
          <w:rFonts w:ascii="Arial" w:hAnsi="Arial" w:cs="Arial"/>
          <w:szCs w:val="24"/>
          <w:lang w:val="en-CA"/>
        </w:rPr>
      </w:pPr>
      <w:r w:rsidRPr="009C04AF">
        <w:rPr>
          <w:rFonts w:ascii="Arial" w:hAnsi="Arial" w:cs="Arial"/>
          <w:szCs w:val="24"/>
          <w:lang w:val="en-CA"/>
        </w:rPr>
        <w:t>Incorporation of 30% fly ash effectively suppressed ASR expansion below deleterious thresholds, even at high GPS substitution levels. GGPS provided partial ASR suppression but was insufficient alone at high aggregate replacement levels.</w:t>
      </w:r>
    </w:p>
    <w:p w14:paraId="7C4635C2" w14:textId="62A60398" w:rsidR="00227C71" w:rsidRPr="00CB67C9" w:rsidRDefault="00227C71" w:rsidP="00B10CB8">
      <w:pPr>
        <w:tabs>
          <w:tab w:val="left" w:pos="0"/>
          <w:tab w:val="left" w:pos="566"/>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spacing w:after="120"/>
        <w:jc w:val="both"/>
        <w:rPr>
          <w:rFonts w:ascii="Arial" w:hAnsi="Arial" w:cs="Arial"/>
          <w:b/>
          <w:bCs/>
          <w:color w:val="000000" w:themeColor="text1"/>
          <w:szCs w:val="24"/>
          <w:lang w:val="en-CA"/>
        </w:rPr>
      </w:pPr>
      <w:r w:rsidRPr="00CB67C9">
        <w:rPr>
          <w:rFonts w:ascii="Arial" w:hAnsi="Arial" w:cs="Arial"/>
          <w:b/>
          <w:bCs/>
          <w:color w:val="000000" w:themeColor="text1"/>
          <w:szCs w:val="24"/>
          <w:lang w:val="en-CA"/>
        </w:rPr>
        <w:t xml:space="preserve">Overall </w:t>
      </w:r>
      <w:r w:rsidR="009C04AF">
        <w:rPr>
          <w:rFonts w:ascii="Arial" w:hAnsi="Arial" w:cs="Arial"/>
          <w:b/>
          <w:bCs/>
          <w:color w:val="000000" w:themeColor="text1"/>
          <w:szCs w:val="24"/>
          <w:lang w:val="en-CA"/>
        </w:rPr>
        <w:t xml:space="preserve">Technical Implications </w:t>
      </w:r>
    </w:p>
    <w:p w14:paraId="16F81CB6" w14:textId="16BBD220" w:rsidR="009C04AF" w:rsidRPr="009C04AF" w:rsidRDefault="009573BF" w:rsidP="00B10CB8">
      <w:pPr>
        <w:tabs>
          <w:tab w:val="left" w:pos="0"/>
          <w:tab w:val="left" w:pos="566"/>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spacing w:after="120"/>
        <w:jc w:val="both"/>
        <w:rPr>
          <w:rFonts w:ascii="Arial" w:hAnsi="Arial" w:cs="Arial"/>
          <w:color w:val="000000" w:themeColor="text1"/>
          <w:szCs w:val="24"/>
          <w:lang w:val="en-CA"/>
        </w:rPr>
      </w:pPr>
      <w:r>
        <w:rPr>
          <w:rFonts w:ascii="Arial" w:hAnsi="Arial" w:cs="Arial"/>
          <w:color w:val="000000" w:themeColor="text1"/>
          <w:szCs w:val="24"/>
          <w:lang w:val="en-CA"/>
        </w:rPr>
        <w:t>GGPS</w:t>
      </w:r>
      <w:r w:rsidR="009C04AF" w:rsidRPr="009C04AF">
        <w:rPr>
          <w:rFonts w:ascii="Arial" w:hAnsi="Arial" w:cs="Arial"/>
          <w:color w:val="000000" w:themeColor="text1"/>
          <w:szCs w:val="24"/>
          <w:lang w:val="en-CA"/>
        </w:rPr>
        <w:t xml:space="preserve"> can replace 30% OPC while meeting strength and expansion requirements. Fine aggregate can be fully replaced by GPS when paired with fly ash for ASR mitigation.</w:t>
      </w:r>
    </w:p>
    <w:p w14:paraId="78861BF9" w14:textId="53F9527C" w:rsidR="009C04AF" w:rsidRDefault="009C04AF" w:rsidP="00B10CB8">
      <w:pPr>
        <w:tabs>
          <w:tab w:val="left" w:pos="0"/>
          <w:tab w:val="left" w:pos="566"/>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spacing w:after="120"/>
        <w:jc w:val="both"/>
        <w:rPr>
          <w:rFonts w:ascii="Arial" w:hAnsi="Arial" w:cs="Arial"/>
          <w:color w:val="000000" w:themeColor="text1"/>
          <w:szCs w:val="24"/>
          <w:lang w:val="en-CA"/>
        </w:rPr>
      </w:pPr>
      <w:r w:rsidRPr="009C04AF">
        <w:rPr>
          <w:rFonts w:ascii="Arial" w:hAnsi="Arial" w:cs="Arial"/>
          <w:color w:val="000000" w:themeColor="text1"/>
          <w:szCs w:val="24"/>
          <w:lang w:val="en-CA"/>
        </w:rPr>
        <w:t>These findings demonstrate a viable pathway for clinker reduction and the development of alumina-bearing, sustainable cementitious systems.</w:t>
      </w:r>
    </w:p>
    <w:p w14:paraId="70F98EDD" w14:textId="758E9A46" w:rsidR="00ED6881" w:rsidRDefault="000D071B" w:rsidP="00E13E6C">
      <w:pPr>
        <w:tabs>
          <w:tab w:val="left" w:pos="0"/>
          <w:tab w:val="left" w:pos="566"/>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jc w:val="both"/>
        <w:rPr>
          <w:rFonts w:ascii="Arial" w:hAnsi="Arial" w:cs="Arial"/>
          <w:color w:val="000000" w:themeColor="text1"/>
          <w:szCs w:val="24"/>
          <w:lang w:val="en-CA"/>
        </w:rPr>
      </w:pPr>
      <w:r>
        <w:rPr>
          <w:rFonts w:ascii="Arial" w:hAnsi="Arial" w:cs="Arial"/>
          <w:color w:val="000000" w:themeColor="text1"/>
          <w:szCs w:val="24"/>
          <w:lang w:val="en-CA"/>
        </w:rPr>
        <w:t xml:space="preserve">A summary of </w:t>
      </w:r>
      <w:r w:rsidR="00B310C4">
        <w:rPr>
          <w:rFonts w:ascii="Arial" w:hAnsi="Arial" w:cs="Arial"/>
          <w:color w:val="000000" w:themeColor="text1"/>
          <w:szCs w:val="24"/>
          <w:lang w:val="en-CA"/>
        </w:rPr>
        <w:t xml:space="preserve">mortar performance can be seen in Table 1. </w:t>
      </w:r>
    </w:p>
    <w:p w14:paraId="7AC15375" w14:textId="77777777" w:rsidR="00ED6881" w:rsidRDefault="00ED6881">
      <w:pPr>
        <w:rPr>
          <w:rFonts w:ascii="Arial" w:hAnsi="Arial" w:cs="Arial"/>
          <w:color w:val="000000" w:themeColor="text1"/>
          <w:szCs w:val="24"/>
          <w:lang w:val="en-CA"/>
        </w:rPr>
      </w:pPr>
      <w:r>
        <w:rPr>
          <w:rFonts w:ascii="Arial" w:hAnsi="Arial" w:cs="Arial"/>
          <w:color w:val="000000" w:themeColor="text1"/>
          <w:szCs w:val="24"/>
          <w:lang w:val="en-CA"/>
        </w:rPr>
        <w:br w:type="page"/>
      </w:r>
    </w:p>
    <w:p w14:paraId="0AF0FA8F" w14:textId="2E21455F" w:rsidR="00E13E6C" w:rsidRPr="00B310C4" w:rsidRDefault="00E13E6C" w:rsidP="00B310C4">
      <w:pPr>
        <w:tabs>
          <w:tab w:val="left" w:pos="0"/>
          <w:tab w:val="left" w:pos="566"/>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spacing w:after="240"/>
        <w:jc w:val="both"/>
        <w:rPr>
          <w:rFonts w:ascii="Arial" w:hAnsi="Arial" w:cs="Arial"/>
          <w:color w:val="000000" w:themeColor="text1"/>
          <w:sz w:val="20"/>
          <w:lang w:val="en-CA"/>
        </w:rPr>
      </w:pPr>
      <w:r w:rsidRPr="00B310C4">
        <w:rPr>
          <w:rFonts w:ascii="Arial" w:hAnsi="Arial" w:cs="Arial"/>
          <w:color w:val="000000" w:themeColor="text1"/>
          <w:sz w:val="20"/>
          <w:lang w:val="en-CA"/>
        </w:rPr>
        <w:t xml:space="preserve">Table 1. </w:t>
      </w:r>
      <w:r w:rsidRPr="00B310C4">
        <w:rPr>
          <w:rFonts w:ascii="Arial" w:hAnsi="Arial" w:cs="Arial"/>
          <w:color w:val="000000" w:themeColor="text1"/>
          <w:sz w:val="20"/>
        </w:rPr>
        <w:t>Summary of mortar performance incorporating GPS as sand replacement and GGPS or fly ash as SCMs. Shown are 56-day compressive strength and 21-day ASR expansion values, highlighting technically viable mix designs and ASR mitigation effects.</w:t>
      </w:r>
    </w:p>
    <w:p w14:paraId="59C8E5DD" w14:textId="77777777" w:rsidR="00E13E6C" w:rsidRPr="00CB67C9" w:rsidRDefault="00E13E6C" w:rsidP="00E13E6C">
      <w:pPr>
        <w:tabs>
          <w:tab w:val="left" w:pos="0"/>
          <w:tab w:val="left" w:pos="566"/>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jc w:val="both"/>
        <w:rPr>
          <w:rFonts w:ascii="Arial" w:hAnsi="Arial" w:cs="Arial"/>
          <w:color w:val="000000" w:themeColor="text1"/>
          <w:szCs w:val="24"/>
          <w:lang w:val="en-CA"/>
        </w:rPr>
      </w:pPr>
      <w:r w:rsidRPr="007264DF">
        <w:drawing>
          <wp:inline distT="0" distB="0" distL="0" distR="0" wp14:anchorId="0B2725AE" wp14:editId="77DD483E">
            <wp:extent cx="5036185" cy="1958975"/>
            <wp:effectExtent l="0" t="0" r="0" b="3175"/>
            <wp:docPr id="13458586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36185" cy="1958975"/>
                    </a:xfrm>
                    <a:prstGeom prst="rect">
                      <a:avLst/>
                    </a:prstGeom>
                    <a:noFill/>
                    <a:ln>
                      <a:noFill/>
                    </a:ln>
                  </pic:spPr>
                </pic:pic>
              </a:graphicData>
            </a:graphic>
          </wp:inline>
        </w:drawing>
      </w:r>
    </w:p>
    <w:p w14:paraId="34440988" w14:textId="628A322C" w:rsidR="001D1CBD" w:rsidRDefault="00D17602" w:rsidP="00F91C33">
      <w:pPr>
        <w:pStyle w:val="Heading1"/>
        <w:spacing w:before="240" w:after="240"/>
      </w:pPr>
      <w:r w:rsidRPr="00F7640D">
        <w:t>REFERENCES</w:t>
      </w:r>
    </w:p>
    <w:p w14:paraId="2E15290B" w14:textId="43131F39" w:rsidR="00F91C33" w:rsidRPr="00F91C33" w:rsidRDefault="00F91C33" w:rsidP="00F91C33">
      <w:pPr>
        <w:pStyle w:val="ListParagraph"/>
        <w:numPr>
          <w:ilvl w:val="0"/>
          <w:numId w:val="20"/>
        </w:numPr>
        <w:rPr>
          <w:rFonts w:ascii="Arial" w:hAnsi="Arial" w:cs="Arial"/>
          <w:lang w:val="en-CA"/>
        </w:rPr>
      </w:pPr>
      <w:r w:rsidRPr="00F91C33">
        <w:rPr>
          <w:rFonts w:ascii="Arial" w:hAnsi="Arial" w:cs="Arial"/>
          <w:lang w:val="en-CA"/>
        </w:rPr>
        <w:t xml:space="preserve">M.C.G. Juenger, R. Snellings, S.A. Bernal, Supplementary cementitious materials: new sources, characterization, and performance insights, </w:t>
      </w:r>
      <w:r w:rsidRPr="00F91C33">
        <w:rPr>
          <w:rFonts w:ascii="Arial" w:hAnsi="Arial" w:cs="Arial"/>
          <w:i/>
          <w:iCs/>
          <w:lang w:val="en-CA"/>
        </w:rPr>
        <w:t xml:space="preserve">Cem. </w:t>
      </w:r>
      <w:proofErr w:type="spellStart"/>
      <w:r w:rsidRPr="00F91C33">
        <w:rPr>
          <w:rFonts w:ascii="Arial" w:hAnsi="Arial" w:cs="Arial"/>
          <w:i/>
          <w:iCs/>
          <w:lang w:val="en-CA"/>
        </w:rPr>
        <w:t>Concr</w:t>
      </w:r>
      <w:proofErr w:type="spellEnd"/>
      <w:r w:rsidRPr="00F91C33">
        <w:rPr>
          <w:rFonts w:ascii="Arial" w:hAnsi="Arial" w:cs="Arial"/>
          <w:i/>
          <w:iCs/>
          <w:lang w:val="en-CA"/>
        </w:rPr>
        <w:t>. Res.</w:t>
      </w:r>
      <w:r w:rsidRPr="00F91C33">
        <w:rPr>
          <w:rFonts w:ascii="Arial" w:hAnsi="Arial" w:cs="Arial"/>
          <w:lang w:val="en-CA"/>
        </w:rPr>
        <w:t xml:space="preserve"> 122 (2019) 257</w:t>
      </w:r>
      <w:r w:rsidR="006C27B1">
        <w:rPr>
          <w:rFonts w:ascii="Arial" w:hAnsi="Arial" w:cs="Arial"/>
          <w:lang w:val="en-CA"/>
        </w:rPr>
        <w:t>-</w:t>
      </w:r>
      <w:r w:rsidRPr="00F91C33">
        <w:rPr>
          <w:rFonts w:ascii="Arial" w:hAnsi="Arial" w:cs="Arial"/>
          <w:lang w:val="en-CA"/>
        </w:rPr>
        <w:t>273.</w:t>
      </w:r>
    </w:p>
    <w:p w14:paraId="7CD45386" w14:textId="093E228A" w:rsidR="00F91C33" w:rsidRPr="00F91C33" w:rsidRDefault="00F91C33" w:rsidP="00F91C33">
      <w:pPr>
        <w:pStyle w:val="ListParagraph"/>
        <w:numPr>
          <w:ilvl w:val="0"/>
          <w:numId w:val="20"/>
        </w:numPr>
        <w:rPr>
          <w:rFonts w:ascii="Arial" w:hAnsi="Arial" w:cs="Arial"/>
          <w:lang w:val="en-CA"/>
        </w:rPr>
      </w:pPr>
      <w:r w:rsidRPr="00F91C33">
        <w:rPr>
          <w:rFonts w:ascii="Arial" w:hAnsi="Arial" w:cs="Arial"/>
          <w:lang w:val="en-CA"/>
        </w:rPr>
        <w:t xml:space="preserve">J. Skibsted, R. Snellings, Reactivity of supplementary cementitious materials (SCMs) in cement blends, </w:t>
      </w:r>
      <w:r w:rsidRPr="00F91C33">
        <w:rPr>
          <w:rFonts w:ascii="Arial" w:hAnsi="Arial" w:cs="Arial"/>
          <w:i/>
          <w:iCs/>
          <w:lang w:val="en-CA"/>
        </w:rPr>
        <w:t xml:space="preserve">Cem. </w:t>
      </w:r>
      <w:proofErr w:type="spellStart"/>
      <w:r w:rsidRPr="00F91C33">
        <w:rPr>
          <w:rFonts w:ascii="Arial" w:hAnsi="Arial" w:cs="Arial"/>
          <w:i/>
          <w:iCs/>
          <w:lang w:val="en-CA"/>
        </w:rPr>
        <w:t>Concr</w:t>
      </w:r>
      <w:proofErr w:type="spellEnd"/>
      <w:r w:rsidRPr="00F91C33">
        <w:rPr>
          <w:rFonts w:ascii="Arial" w:hAnsi="Arial" w:cs="Arial"/>
          <w:i/>
          <w:iCs/>
          <w:lang w:val="en-CA"/>
        </w:rPr>
        <w:t>. Res.</w:t>
      </w:r>
      <w:r w:rsidRPr="00F91C33">
        <w:rPr>
          <w:rFonts w:ascii="Arial" w:hAnsi="Arial" w:cs="Arial"/>
          <w:lang w:val="en-CA"/>
        </w:rPr>
        <w:t xml:space="preserve"> 124 (2019) 105799.</w:t>
      </w:r>
    </w:p>
    <w:p w14:paraId="78953549" w14:textId="075ABAE6" w:rsidR="00F91C33" w:rsidRPr="00F91C33" w:rsidRDefault="00F91C33" w:rsidP="00F91C33">
      <w:pPr>
        <w:pStyle w:val="ListParagraph"/>
        <w:numPr>
          <w:ilvl w:val="0"/>
          <w:numId w:val="20"/>
        </w:numPr>
        <w:rPr>
          <w:rFonts w:ascii="Arial" w:hAnsi="Arial" w:cs="Arial"/>
          <w:lang w:val="en-CA"/>
        </w:rPr>
      </w:pPr>
      <w:r w:rsidRPr="00F91C33">
        <w:rPr>
          <w:rFonts w:ascii="Arial" w:hAnsi="Arial" w:cs="Arial"/>
          <w:lang w:val="en-CA"/>
        </w:rPr>
        <w:t>K.L. Scrivener, V.M. John, E.M. Gartner, Eco-efficient cements: potential economically viable solutions for a low-CO</w:t>
      </w:r>
      <w:r w:rsidRPr="00F91C33">
        <w:rPr>
          <w:rFonts w:ascii="Cambria Math" w:hAnsi="Cambria Math" w:cs="Cambria Math"/>
          <w:lang w:val="en-CA"/>
        </w:rPr>
        <w:t>₂</w:t>
      </w:r>
      <w:r w:rsidRPr="00F91C33">
        <w:rPr>
          <w:rFonts w:ascii="Arial" w:hAnsi="Arial" w:cs="Arial"/>
          <w:lang w:val="en-CA"/>
        </w:rPr>
        <w:t xml:space="preserve"> cement-based materials industry, </w:t>
      </w:r>
      <w:r w:rsidRPr="00F91C33">
        <w:rPr>
          <w:rFonts w:ascii="Arial" w:hAnsi="Arial" w:cs="Arial"/>
          <w:i/>
          <w:iCs/>
          <w:lang w:val="en-CA"/>
        </w:rPr>
        <w:t xml:space="preserve">Cem. </w:t>
      </w:r>
      <w:proofErr w:type="spellStart"/>
      <w:r w:rsidRPr="00F91C33">
        <w:rPr>
          <w:rFonts w:ascii="Arial" w:hAnsi="Arial" w:cs="Arial"/>
          <w:i/>
          <w:iCs/>
          <w:lang w:val="en-CA"/>
        </w:rPr>
        <w:t>Concr</w:t>
      </w:r>
      <w:proofErr w:type="spellEnd"/>
      <w:r w:rsidRPr="00F91C33">
        <w:rPr>
          <w:rFonts w:ascii="Arial" w:hAnsi="Arial" w:cs="Arial"/>
          <w:i/>
          <w:iCs/>
          <w:lang w:val="en-CA"/>
        </w:rPr>
        <w:t>. Res.</w:t>
      </w:r>
      <w:r w:rsidRPr="00F91C33">
        <w:rPr>
          <w:rFonts w:ascii="Arial" w:hAnsi="Arial" w:cs="Arial"/>
          <w:lang w:val="en-CA"/>
        </w:rPr>
        <w:t xml:space="preserve"> 114 (2018) 2</w:t>
      </w:r>
      <w:r w:rsidR="006C27B1">
        <w:rPr>
          <w:rFonts w:ascii="Arial" w:hAnsi="Arial" w:cs="Arial"/>
          <w:lang w:val="en-CA"/>
        </w:rPr>
        <w:t>-</w:t>
      </w:r>
      <w:r w:rsidRPr="00F91C33">
        <w:rPr>
          <w:rFonts w:ascii="Arial" w:hAnsi="Arial" w:cs="Arial"/>
          <w:lang w:val="en-CA"/>
        </w:rPr>
        <w:t>26.</w:t>
      </w:r>
    </w:p>
    <w:p w14:paraId="0F2A2A3B" w14:textId="0425ADF4" w:rsidR="00F91C33" w:rsidRPr="00F91C33" w:rsidRDefault="00F91C33" w:rsidP="00F91C33">
      <w:pPr>
        <w:pStyle w:val="ListParagraph"/>
        <w:numPr>
          <w:ilvl w:val="0"/>
          <w:numId w:val="20"/>
        </w:numPr>
        <w:rPr>
          <w:rFonts w:ascii="Arial" w:hAnsi="Arial" w:cs="Arial"/>
          <w:lang w:val="en-CA"/>
        </w:rPr>
      </w:pPr>
      <w:r w:rsidRPr="00F91C33">
        <w:rPr>
          <w:rFonts w:ascii="Arial" w:hAnsi="Arial" w:cs="Arial"/>
          <w:lang w:val="en-CA"/>
        </w:rPr>
        <w:t xml:space="preserve">J. </w:t>
      </w:r>
      <w:proofErr w:type="spellStart"/>
      <w:r w:rsidRPr="00F91C33">
        <w:rPr>
          <w:rFonts w:ascii="Arial" w:hAnsi="Arial" w:cs="Arial"/>
          <w:lang w:val="en-CA"/>
        </w:rPr>
        <w:t>Lindgård</w:t>
      </w:r>
      <w:proofErr w:type="spellEnd"/>
      <w:r w:rsidRPr="00F91C33">
        <w:rPr>
          <w:rFonts w:ascii="Arial" w:hAnsi="Arial" w:cs="Arial"/>
          <w:lang w:val="en-CA"/>
        </w:rPr>
        <w:t>, Ö. Andiç-Çakir, I. Fernandes, T.F. Rønning, M.D.A. Thomas, Alkali</w:t>
      </w:r>
      <w:r w:rsidR="0008664D">
        <w:rPr>
          <w:rFonts w:ascii="Arial" w:hAnsi="Arial" w:cs="Arial"/>
          <w:lang w:val="en-CA"/>
        </w:rPr>
        <w:t>-</w:t>
      </w:r>
      <w:r w:rsidRPr="00F91C33">
        <w:rPr>
          <w:rFonts w:ascii="Arial" w:hAnsi="Arial" w:cs="Arial"/>
          <w:lang w:val="en-CA"/>
        </w:rPr>
        <w:t xml:space="preserve">silica reactions (ASR): literature review on parameters influencing laboratory performance testing, </w:t>
      </w:r>
      <w:r w:rsidRPr="00F91C33">
        <w:rPr>
          <w:rFonts w:ascii="Arial" w:hAnsi="Arial" w:cs="Arial"/>
          <w:i/>
          <w:iCs/>
          <w:lang w:val="en-CA"/>
        </w:rPr>
        <w:t xml:space="preserve">Cem. </w:t>
      </w:r>
      <w:proofErr w:type="spellStart"/>
      <w:r w:rsidRPr="00F91C33">
        <w:rPr>
          <w:rFonts w:ascii="Arial" w:hAnsi="Arial" w:cs="Arial"/>
          <w:i/>
          <w:iCs/>
          <w:lang w:val="en-CA"/>
        </w:rPr>
        <w:t>Concr</w:t>
      </w:r>
      <w:proofErr w:type="spellEnd"/>
      <w:r w:rsidRPr="00F91C33">
        <w:rPr>
          <w:rFonts w:ascii="Arial" w:hAnsi="Arial" w:cs="Arial"/>
          <w:i/>
          <w:iCs/>
          <w:lang w:val="en-CA"/>
        </w:rPr>
        <w:t>. Res.</w:t>
      </w:r>
      <w:r w:rsidRPr="00F91C33">
        <w:rPr>
          <w:rFonts w:ascii="Arial" w:hAnsi="Arial" w:cs="Arial"/>
          <w:lang w:val="en-CA"/>
        </w:rPr>
        <w:t xml:space="preserve"> 42 (2012) 223</w:t>
      </w:r>
      <w:r w:rsidR="00341CAF">
        <w:rPr>
          <w:rFonts w:ascii="Arial" w:hAnsi="Arial" w:cs="Arial"/>
          <w:lang w:val="en-CA"/>
        </w:rPr>
        <w:t>-</w:t>
      </w:r>
      <w:r w:rsidRPr="00F91C33">
        <w:rPr>
          <w:rFonts w:ascii="Arial" w:hAnsi="Arial" w:cs="Arial"/>
          <w:lang w:val="en-CA"/>
        </w:rPr>
        <w:t>243.</w:t>
      </w:r>
    </w:p>
    <w:p w14:paraId="5FA2E4E3" w14:textId="380B0351" w:rsidR="00F91C33" w:rsidRPr="00F91C33" w:rsidRDefault="00F91C33" w:rsidP="00F91C33">
      <w:pPr>
        <w:pStyle w:val="ListParagraph"/>
        <w:numPr>
          <w:ilvl w:val="0"/>
          <w:numId w:val="20"/>
        </w:numPr>
        <w:rPr>
          <w:rFonts w:ascii="Arial" w:hAnsi="Arial" w:cs="Arial"/>
          <w:lang w:val="en-CA"/>
        </w:rPr>
      </w:pPr>
      <w:r w:rsidRPr="00F91C33">
        <w:rPr>
          <w:rFonts w:ascii="Arial" w:hAnsi="Arial" w:cs="Arial"/>
          <w:lang w:val="en-CA"/>
        </w:rPr>
        <w:t>M.D.A. Thomas, The effect of supplementary cementing materials on alkali</w:t>
      </w:r>
      <w:r w:rsidR="0008664D">
        <w:rPr>
          <w:rFonts w:ascii="Arial" w:hAnsi="Arial" w:cs="Arial"/>
          <w:lang w:val="en-CA"/>
        </w:rPr>
        <w:t>-</w:t>
      </w:r>
      <w:r w:rsidRPr="00F91C33">
        <w:rPr>
          <w:rFonts w:ascii="Arial" w:hAnsi="Arial" w:cs="Arial"/>
          <w:lang w:val="en-CA"/>
        </w:rPr>
        <w:t xml:space="preserve">silica reaction: a review, </w:t>
      </w:r>
      <w:r w:rsidRPr="00F91C33">
        <w:rPr>
          <w:rFonts w:ascii="Arial" w:hAnsi="Arial" w:cs="Arial"/>
          <w:i/>
          <w:iCs/>
          <w:lang w:val="en-CA"/>
        </w:rPr>
        <w:t xml:space="preserve">Cem. </w:t>
      </w:r>
      <w:proofErr w:type="spellStart"/>
      <w:r w:rsidRPr="00F91C33">
        <w:rPr>
          <w:rFonts w:ascii="Arial" w:hAnsi="Arial" w:cs="Arial"/>
          <w:i/>
          <w:iCs/>
          <w:lang w:val="en-CA"/>
        </w:rPr>
        <w:t>Concr</w:t>
      </w:r>
      <w:proofErr w:type="spellEnd"/>
      <w:r w:rsidRPr="00F91C33">
        <w:rPr>
          <w:rFonts w:ascii="Arial" w:hAnsi="Arial" w:cs="Arial"/>
          <w:i/>
          <w:iCs/>
          <w:lang w:val="en-CA"/>
        </w:rPr>
        <w:t>. Res.</w:t>
      </w:r>
      <w:r w:rsidRPr="00F91C33">
        <w:rPr>
          <w:rFonts w:ascii="Arial" w:hAnsi="Arial" w:cs="Arial"/>
          <w:lang w:val="en-CA"/>
        </w:rPr>
        <w:t xml:space="preserve"> 41 (2011) 1224</w:t>
      </w:r>
      <w:r w:rsidR="00341CAF">
        <w:rPr>
          <w:rFonts w:ascii="Arial" w:hAnsi="Arial" w:cs="Arial"/>
          <w:lang w:val="en-CA"/>
        </w:rPr>
        <w:t>-</w:t>
      </w:r>
      <w:r w:rsidRPr="00F91C33">
        <w:rPr>
          <w:rFonts w:ascii="Arial" w:hAnsi="Arial" w:cs="Arial"/>
          <w:lang w:val="en-CA"/>
        </w:rPr>
        <w:t>1231.</w:t>
      </w:r>
    </w:p>
    <w:p w14:paraId="0733AEF0" w14:textId="25FBAEAA" w:rsidR="00F91C33" w:rsidRPr="00F91C33" w:rsidRDefault="00F91C33" w:rsidP="00F91C33">
      <w:pPr>
        <w:pStyle w:val="ListParagraph"/>
        <w:numPr>
          <w:ilvl w:val="0"/>
          <w:numId w:val="20"/>
        </w:numPr>
        <w:rPr>
          <w:rFonts w:ascii="Arial" w:hAnsi="Arial" w:cs="Arial"/>
          <w:lang w:val="en-CA"/>
        </w:rPr>
      </w:pPr>
      <w:r w:rsidRPr="00F91C33">
        <w:rPr>
          <w:rFonts w:ascii="Arial" w:hAnsi="Arial" w:cs="Arial"/>
          <w:lang w:val="en-CA"/>
        </w:rPr>
        <w:t>M.H. Shehata, M.D.A. Thomas, The effect of fly ash composition on the expansion of concrete due to alkali</w:t>
      </w:r>
      <w:r w:rsidR="00341CAF">
        <w:rPr>
          <w:rFonts w:ascii="Arial" w:hAnsi="Arial" w:cs="Arial"/>
          <w:lang w:val="en-CA"/>
        </w:rPr>
        <w:t>-</w:t>
      </w:r>
      <w:r w:rsidRPr="00F91C33">
        <w:rPr>
          <w:rFonts w:ascii="Arial" w:hAnsi="Arial" w:cs="Arial"/>
          <w:lang w:val="en-CA"/>
        </w:rPr>
        <w:t xml:space="preserve">silica reaction, </w:t>
      </w:r>
      <w:r w:rsidRPr="00F91C33">
        <w:rPr>
          <w:rFonts w:ascii="Arial" w:hAnsi="Arial" w:cs="Arial"/>
          <w:i/>
          <w:iCs/>
          <w:lang w:val="en-CA"/>
        </w:rPr>
        <w:t xml:space="preserve">Cem. </w:t>
      </w:r>
      <w:proofErr w:type="spellStart"/>
      <w:r w:rsidRPr="00F91C33">
        <w:rPr>
          <w:rFonts w:ascii="Arial" w:hAnsi="Arial" w:cs="Arial"/>
          <w:i/>
          <w:iCs/>
          <w:lang w:val="en-CA"/>
        </w:rPr>
        <w:t>Concr</w:t>
      </w:r>
      <w:proofErr w:type="spellEnd"/>
      <w:r w:rsidRPr="00F91C33">
        <w:rPr>
          <w:rFonts w:ascii="Arial" w:hAnsi="Arial" w:cs="Arial"/>
          <w:i/>
          <w:iCs/>
          <w:lang w:val="en-CA"/>
        </w:rPr>
        <w:t>. Res.</w:t>
      </w:r>
      <w:r w:rsidRPr="00F91C33">
        <w:rPr>
          <w:rFonts w:ascii="Arial" w:hAnsi="Arial" w:cs="Arial"/>
          <w:lang w:val="en-CA"/>
        </w:rPr>
        <w:t xml:space="preserve"> 30 (2000) 1063</w:t>
      </w:r>
      <w:r w:rsidR="00341CAF">
        <w:rPr>
          <w:rFonts w:ascii="Arial" w:hAnsi="Arial" w:cs="Arial"/>
          <w:lang w:val="en-CA"/>
        </w:rPr>
        <w:t>-</w:t>
      </w:r>
      <w:r w:rsidRPr="00F91C33">
        <w:rPr>
          <w:rFonts w:ascii="Arial" w:hAnsi="Arial" w:cs="Arial"/>
          <w:lang w:val="en-CA"/>
        </w:rPr>
        <w:t>1072.</w:t>
      </w:r>
    </w:p>
    <w:p w14:paraId="49F2A720" w14:textId="77777777" w:rsidR="00F91C33" w:rsidRPr="00F91C33" w:rsidRDefault="00F91C33" w:rsidP="00F91C33">
      <w:pPr>
        <w:rPr>
          <w:lang w:val="en-GB"/>
        </w:rPr>
      </w:pPr>
    </w:p>
    <w:p w14:paraId="51A52F83" w14:textId="1895A10D" w:rsidR="00A50BFD" w:rsidRPr="00F7640D" w:rsidRDefault="00A50BFD" w:rsidP="00BF3F8D">
      <w:pPr>
        <w:pStyle w:val="Legal1"/>
        <w:tabs>
          <w:tab w:val="left" w:pos="0"/>
          <w:tab w:val="left" w:pos="566"/>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jc w:val="both"/>
        <w:rPr>
          <w:rFonts w:ascii="Arial" w:hAnsi="Arial" w:cs="Arial"/>
        </w:rPr>
      </w:pPr>
    </w:p>
    <w:sectPr w:rsidR="00A50BFD" w:rsidRPr="00F7640D" w:rsidSect="00F7640D">
      <w:footerReference w:type="even" r:id="rId12"/>
      <w:footerReference w:type="default" r:id="rId13"/>
      <w:headerReference w:type="first" r:id="rId14"/>
      <w:footerReference w:type="first" r:id="rId15"/>
      <w:endnotePr>
        <w:numFmt w:val="decimal"/>
      </w:endnotePr>
      <w:pgSz w:w="11905" w:h="16837" w:code="9"/>
      <w:pgMar w:top="1699" w:right="1699" w:bottom="1699" w:left="1699" w:header="720" w:footer="720" w:gutter="576"/>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A9332" w14:textId="77777777" w:rsidR="00AB0E65" w:rsidRDefault="00AB0E65">
      <w:r>
        <w:separator/>
      </w:r>
    </w:p>
  </w:endnote>
  <w:endnote w:type="continuationSeparator" w:id="0">
    <w:p w14:paraId="03449E58" w14:textId="77777777" w:rsidR="00AB0E65" w:rsidRDefault="00AB0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8A28F" w14:textId="77777777" w:rsidR="00E0465F" w:rsidRDefault="00E0465F" w:rsidP="00AB0E6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E5A0B7" w14:textId="77777777" w:rsidR="00E0465F" w:rsidRDefault="00E0465F" w:rsidP="00E046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10C5B" w14:textId="77777777" w:rsidR="00E0465F" w:rsidRPr="00F7640D" w:rsidRDefault="00E0465F" w:rsidP="00AB0E65">
    <w:pPr>
      <w:pStyle w:val="Footer"/>
      <w:framePr w:wrap="none" w:vAnchor="text" w:hAnchor="margin" w:xAlign="right" w:y="1"/>
      <w:rPr>
        <w:rStyle w:val="PageNumber"/>
        <w:rFonts w:ascii="Arial" w:hAnsi="Arial" w:cs="Arial"/>
      </w:rPr>
    </w:pPr>
    <w:r w:rsidRPr="00F7640D">
      <w:rPr>
        <w:rStyle w:val="PageNumber"/>
        <w:rFonts w:ascii="Arial" w:hAnsi="Arial" w:cs="Arial"/>
      </w:rPr>
      <w:fldChar w:fldCharType="begin"/>
    </w:r>
    <w:r w:rsidRPr="00F7640D">
      <w:rPr>
        <w:rStyle w:val="PageNumber"/>
        <w:rFonts w:ascii="Arial" w:hAnsi="Arial" w:cs="Arial"/>
      </w:rPr>
      <w:instrText xml:space="preserve">PAGE  </w:instrText>
    </w:r>
    <w:r w:rsidRPr="00F7640D">
      <w:rPr>
        <w:rStyle w:val="PageNumber"/>
        <w:rFonts w:ascii="Arial" w:hAnsi="Arial" w:cs="Arial"/>
      </w:rPr>
      <w:fldChar w:fldCharType="separate"/>
    </w:r>
    <w:r w:rsidRPr="00F7640D">
      <w:rPr>
        <w:rStyle w:val="PageNumber"/>
        <w:rFonts w:ascii="Arial" w:hAnsi="Arial" w:cs="Arial"/>
        <w:noProof/>
      </w:rPr>
      <w:t>3</w:t>
    </w:r>
    <w:r w:rsidRPr="00F7640D">
      <w:rPr>
        <w:rStyle w:val="PageNumber"/>
        <w:rFonts w:ascii="Arial" w:hAnsi="Arial" w:cs="Arial"/>
      </w:rPr>
      <w:fldChar w:fldCharType="end"/>
    </w:r>
  </w:p>
  <w:p w14:paraId="1885F293" w14:textId="77777777" w:rsidR="00E0465F" w:rsidRPr="00F7640D" w:rsidRDefault="00E0465F" w:rsidP="00E0465F">
    <w:pPr>
      <w:pStyle w:val="Footer"/>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4857B" w14:textId="77777777" w:rsidR="007351DA" w:rsidRPr="005F6B59" w:rsidRDefault="007351DA" w:rsidP="00AB0E65">
    <w:pPr>
      <w:pStyle w:val="Footer"/>
      <w:framePr w:wrap="none" w:vAnchor="text" w:hAnchor="margin" w:xAlign="right" w:y="1"/>
      <w:rPr>
        <w:rStyle w:val="PageNumber"/>
        <w:rFonts w:ascii="Arial" w:hAnsi="Arial" w:cs="Arial"/>
      </w:rPr>
    </w:pPr>
    <w:r w:rsidRPr="005F6B59">
      <w:rPr>
        <w:rStyle w:val="PageNumber"/>
        <w:rFonts w:ascii="Arial" w:hAnsi="Arial" w:cs="Arial"/>
      </w:rPr>
      <w:fldChar w:fldCharType="begin"/>
    </w:r>
    <w:r w:rsidRPr="005F6B59">
      <w:rPr>
        <w:rStyle w:val="PageNumber"/>
        <w:rFonts w:ascii="Arial" w:hAnsi="Arial" w:cs="Arial"/>
      </w:rPr>
      <w:instrText xml:space="preserve">PAGE  </w:instrText>
    </w:r>
    <w:r w:rsidRPr="005F6B59">
      <w:rPr>
        <w:rStyle w:val="PageNumber"/>
        <w:rFonts w:ascii="Arial" w:hAnsi="Arial" w:cs="Arial"/>
      </w:rPr>
      <w:fldChar w:fldCharType="separate"/>
    </w:r>
    <w:r w:rsidR="00E0465F" w:rsidRPr="005F6B59">
      <w:rPr>
        <w:rStyle w:val="PageNumber"/>
        <w:rFonts w:ascii="Arial" w:hAnsi="Arial" w:cs="Arial"/>
        <w:noProof/>
      </w:rPr>
      <w:t>1</w:t>
    </w:r>
    <w:r w:rsidRPr="005F6B59">
      <w:rPr>
        <w:rStyle w:val="PageNumber"/>
        <w:rFonts w:ascii="Arial" w:hAnsi="Arial" w:cs="Arial"/>
      </w:rPr>
      <w:fldChar w:fldCharType="end"/>
    </w:r>
  </w:p>
  <w:p w14:paraId="6210ACEE" w14:textId="7891038D" w:rsidR="007351DA" w:rsidRPr="00F7640D" w:rsidRDefault="00264767" w:rsidP="007351DA">
    <w:pPr>
      <w:pStyle w:val="Footer"/>
      <w:ind w:right="360"/>
      <w:rPr>
        <w:rFonts w:ascii="Arial" w:hAnsi="Arial" w:cs="Arial"/>
      </w:rPr>
    </w:pPr>
    <w:r>
      <w:rPr>
        <w:rFonts w:ascii="Arial" w:hAnsi="Arial" w:cs="Arial"/>
        <w:i/>
      </w:rPr>
      <w:t>*</w:t>
    </w:r>
    <w:hyperlink r:id="rId1" w:history="1">
      <w:r w:rsidRPr="006A2DF1">
        <w:rPr>
          <w:rStyle w:val="Hyperlink"/>
          <w:rFonts w:ascii="Arial" w:hAnsi="Arial" w:cs="Arial"/>
          <w:i/>
        </w:rPr>
        <w:t>kelly@insight-rnd.com</w:t>
      </w:r>
    </w:hyperlink>
    <w:r>
      <w:rPr>
        <w:rFonts w:ascii="Arial" w:hAnsi="Arial" w:cs="Arial"/>
        <w: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FB95A" w14:textId="77777777" w:rsidR="00AB0E65" w:rsidRDefault="00AB0E65">
      <w:r>
        <w:separator/>
      </w:r>
    </w:p>
  </w:footnote>
  <w:footnote w:type="continuationSeparator" w:id="0">
    <w:p w14:paraId="31CD6042" w14:textId="77777777" w:rsidR="00AB0E65" w:rsidRDefault="00AB0E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D71BB" w14:textId="73CB75F8" w:rsidR="00F7640D" w:rsidRDefault="00F7640D">
    <w:pPr>
      <w:pStyle w:val="Header"/>
    </w:pPr>
    <w:r w:rsidRPr="00974929">
      <w:rPr>
        <w:noProof/>
      </w:rPr>
      <w:drawing>
        <wp:inline distT="0" distB="0" distL="0" distR="0" wp14:anchorId="5F79B26A" wp14:editId="586D810F">
          <wp:extent cx="3884531" cy="1203125"/>
          <wp:effectExtent l="0" t="0" r="1905" b="3810"/>
          <wp:docPr id="7" name="Picture 1" descr="A close-up of a logo&#10;&#10;Description automatically generated">
            <a:extLst xmlns:a="http://schemas.openxmlformats.org/drawingml/2006/main">
              <a:ext uri="{FF2B5EF4-FFF2-40B4-BE49-F238E27FC236}">
                <a16:creationId xmlns:a16="http://schemas.microsoft.com/office/drawing/2014/main" id="{B71F3E7E-96DE-A587-CBC2-B375ED8BC6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A close-up of a logo&#10;&#10;Description automatically generated">
                    <a:extLst>
                      <a:ext uri="{FF2B5EF4-FFF2-40B4-BE49-F238E27FC236}">
                        <a16:creationId xmlns:a16="http://schemas.microsoft.com/office/drawing/2014/main" id="{B71F3E7E-96DE-A587-CBC2-B375ED8BC6CB}"/>
                      </a:ext>
                    </a:extLst>
                  </pic:cNvPr>
                  <pic:cNvPicPr>
                    <a:picLocks noChangeAspect="1"/>
                  </pic:cNvPicPr>
                </pic:nvPicPr>
                <pic:blipFill>
                  <a:blip r:embed="rId1"/>
                  <a:stretch>
                    <a:fillRect/>
                  </a:stretch>
                </pic:blipFill>
                <pic:spPr>
                  <a:xfrm>
                    <a:off x="0" y="0"/>
                    <a:ext cx="3926251" cy="12160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lowerRoman"/>
      <w:suff w:val="nothing"/>
      <w:lvlText w:val="%9)"/>
      <w:lvlJc w:val="left"/>
    </w:lvl>
  </w:abstractNum>
  <w:abstractNum w:abstractNumId="1" w15:restartNumberingAfterBreak="0">
    <w:nsid w:val="02383E0C"/>
    <w:multiLevelType w:val="multilevel"/>
    <w:tmpl w:val="3CD04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F5DC3"/>
    <w:multiLevelType w:val="hybridMultilevel"/>
    <w:tmpl w:val="9B5210B2"/>
    <w:lvl w:ilvl="0" w:tplc="1EF4ED46">
      <w:start w:val="1"/>
      <w:numFmt w:val="decimal"/>
      <w:pStyle w:val="EndnoteText"/>
      <w:lvlText w:val="[%1]"/>
      <w:lvlJc w:val="left"/>
      <w:pPr>
        <w:tabs>
          <w:tab w:val="num" w:pos="567"/>
        </w:tabs>
        <w:ind w:left="567" w:hanging="567"/>
      </w:pPr>
      <w:rPr>
        <w:rFonts w:ascii="Garamond" w:hAnsi="Garamond"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4C7DB6"/>
    <w:multiLevelType w:val="hybridMultilevel"/>
    <w:tmpl w:val="F3BE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962AE2"/>
    <w:multiLevelType w:val="hybridMultilevel"/>
    <w:tmpl w:val="912603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BFE1B1A"/>
    <w:multiLevelType w:val="hybridMultilevel"/>
    <w:tmpl w:val="C9CAD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8946FD"/>
    <w:multiLevelType w:val="hybridMultilevel"/>
    <w:tmpl w:val="209446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DEF21D8"/>
    <w:multiLevelType w:val="multilevel"/>
    <w:tmpl w:val="16980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7E7536"/>
    <w:multiLevelType w:val="multilevel"/>
    <w:tmpl w:val="CDAE2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DF31CC"/>
    <w:multiLevelType w:val="hybridMultilevel"/>
    <w:tmpl w:val="14BCE7D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9456EE7"/>
    <w:multiLevelType w:val="hybridMultilevel"/>
    <w:tmpl w:val="C8D4F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F935FF"/>
    <w:multiLevelType w:val="hybridMultilevel"/>
    <w:tmpl w:val="77C4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C402F8"/>
    <w:multiLevelType w:val="hybridMultilevel"/>
    <w:tmpl w:val="4B7AF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AE31DC"/>
    <w:multiLevelType w:val="hybridMultilevel"/>
    <w:tmpl w:val="072EC68A"/>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C6069C0"/>
    <w:multiLevelType w:val="hybridMultilevel"/>
    <w:tmpl w:val="4C780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E684D"/>
    <w:multiLevelType w:val="multilevel"/>
    <w:tmpl w:val="5FA49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7D1C7B"/>
    <w:multiLevelType w:val="multilevel"/>
    <w:tmpl w:val="7FF44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16458F"/>
    <w:multiLevelType w:val="hybridMultilevel"/>
    <w:tmpl w:val="910CFA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C530C31"/>
    <w:multiLevelType w:val="hybridMultilevel"/>
    <w:tmpl w:val="C964B06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2F624A3"/>
    <w:multiLevelType w:val="hybridMultilevel"/>
    <w:tmpl w:val="724C462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32915738">
    <w:abstractNumId w:val="0"/>
  </w:num>
  <w:num w:numId="2" w16cid:durableId="450326837">
    <w:abstractNumId w:val="2"/>
  </w:num>
  <w:num w:numId="3" w16cid:durableId="1172454485">
    <w:abstractNumId w:val="3"/>
  </w:num>
  <w:num w:numId="4" w16cid:durableId="192378722">
    <w:abstractNumId w:val="12"/>
  </w:num>
  <w:num w:numId="5" w16cid:durableId="390269958">
    <w:abstractNumId w:val="5"/>
  </w:num>
  <w:num w:numId="6" w16cid:durableId="2058897220">
    <w:abstractNumId w:val="10"/>
  </w:num>
  <w:num w:numId="7" w16cid:durableId="286277593">
    <w:abstractNumId w:val="11"/>
  </w:num>
  <w:num w:numId="8" w16cid:durableId="1064259987">
    <w:abstractNumId w:val="14"/>
  </w:num>
  <w:num w:numId="9" w16cid:durableId="13772409">
    <w:abstractNumId w:val="16"/>
  </w:num>
  <w:num w:numId="10" w16cid:durableId="446313992">
    <w:abstractNumId w:val="1"/>
  </w:num>
  <w:num w:numId="11" w16cid:durableId="847870753">
    <w:abstractNumId w:val="8"/>
  </w:num>
  <w:num w:numId="12" w16cid:durableId="993147194">
    <w:abstractNumId w:val="15"/>
  </w:num>
  <w:num w:numId="13" w16cid:durableId="1047334269">
    <w:abstractNumId w:val="7"/>
  </w:num>
  <w:num w:numId="14" w16cid:durableId="119229758">
    <w:abstractNumId w:val="4"/>
  </w:num>
  <w:num w:numId="15" w16cid:durableId="1794321119">
    <w:abstractNumId w:val="19"/>
  </w:num>
  <w:num w:numId="16" w16cid:durableId="1899199532">
    <w:abstractNumId w:val="18"/>
  </w:num>
  <w:num w:numId="17" w16cid:durableId="1843470081">
    <w:abstractNumId w:val="6"/>
  </w:num>
  <w:num w:numId="18" w16cid:durableId="990476618">
    <w:abstractNumId w:val="17"/>
  </w:num>
  <w:num w:numId="19" w16cid:durableId="905922502">
    <w:abstractNumId w:val="9"/>
  </w:num>
  <w:num w:numId="20" w16cid:durableId="8028907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bordersDoNotSurroundHeader/>
  <w:bordersDoNotSurroundFooter/>
  <w:proofState w:spelling="clean" w:grammar="clean"/>
  <w:defaultTabStop w:val="720"/>
  <w:hyphenationZone w:val="0"/>
  <w:doNotHyphenateCap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 ICAA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sd95w9zwrr0vieardsxder30faetpx9wsev&quot;&gt;NSFCAREER_2012&lt;record-ids&gt;&lt;item&gt;108&lt;/item&gt;&lt;item&gt;153&lt;/item&gt;&lt;item&gt;154&lt;/item&gt;&lt;item&gt;156&lt;/item&gt;&lt;item&gt;157&lt;/item&gt;&lt;item&gt;158&lt;/item&gt;&lt;item&gt;681&lt;/item&gt;&lt;item&gt;932&lt;/item&gt;&lt;item&gt;936&lt;/item&gt;&lt;item&gt;1080&lt;/item&gt;&lt;item&gt;1081&lt;/item&gt;&lt;item&gt;1082&lt;/item&gt;&lt;item&gt;1084&lt;/item&gt;&lt;item&gt;1085&lt;/item&gt;&lt;item&gt;1086&lt;/item&gt;&lt;item&gt;1105&lt;/item&gt;&lt;/record-ids&gt;&lt;/item&gt;&lt;/Libraries&gt;"/>
  </w:docVars>
  <w:rsids>
    <w:rsidRoot w:val="00B54572"/>
    <w:rsid w:val="00015122"/>
    <w:rsid w:val="0001592C"/>
    <w:rsid w:val="00016DD3"/>
    <w:rsid w:val="000233E3"/>
    <w:rsid w:val="000301C9"/>
    <w:rsid w:val="000327C8"/>
    <w:rsid w:val="00041762"/>
    <w:rsid w:val="00042E33"/>
    <w:rsid w:val="00055385"/>
    <w:rsid w:val="00055962"/>
    <w:rsid w:val="00074282"/>
    <w:rsid w:val="000775E4"/>
    <w:rsid w:val="0008664D"/>
    <w:rsid w:val="0008697E"/>
    <w:rsid w:val="0009331D"/>
    <w:rsid w:val="000973EB"/>
    <w:rsid w:val="000B6B97"/>
    <w:rsid w:val="000C0001"/>
    <w:rsid w:val="000D071B"/>
    <w:rsid w:val="000F52AE"/>
    <w:rsid w:val="00101B11"/>
    <w:rsid w:val="00111E00"/>
    <w:rsid w:val="00114544"/>
    <w:rsid w:val="00116039"/>
    <w:rsid w:val="00122E0B"/>
    <w:rsid w:val="001410E4"/>
    <w:rsid w:val="00151202"/>
    <w:rsid w:val="00157720"/>
    <w:rsid w:val="001579E0"/>
    <w:rsid w:val="001640F8"/>
    <w:rsid w:val="0016550C"/>
    <w:rsid w:val="00170AF3"/>
    <w:rsid w:val="00174021"/>
    <w:rsid w:val="0018518D"/>
    <w:rsid w:val="001868A5"/>
    <w:rsid w:val="001C1869"/>
    <w:rsid w:val="001C2848"/>
    <w:rsid w:val="001C41D0"/>
    <w:rsid w:val="001C51E6"/>
    <w:rsid w:val="001D1CBD"/>
    <w:rsid w:val="001E1C0A"/>
    <w:rsid w:val="001E2EA4"/>
    <w:rsid w:val="001E33E8"/>
    <w:rsid w:val="001E6905"/>
    <w:rsid w:val="00211EC4"/>
    <w:rsid w:val="00215CEE"/>
    <w:rsid w:val="00216DA1"/>
    <w:rsid w:val="00225624"/>
    <w:rsid w:val="00227C71"/>
    <w:rsid w:val="0025626A"/>
    <w:rsid w:val="00264767"/>
    <w:rsid w:val="002709B6"/>
    <w:rsid w:val="002725BE"/>
    <w:rsid w:val="00280755"/>
    <w:rsid w:val="00280D84"/>
    <w:rsid w:val="002841C0"/>
    <w:rsid w:val="00291291"/>
    <w:rsid w:val="002A72C2"/>
    <w:rsid w:val="002B0488"/>
    <w:rsid w:val="002B30CA"/>
    <w:rsid w:val="002D413C"/>
    <w:rsid w:val="002D6C58"/>
    <w:rsid w:val="002E052C"/>
    <w:rsid w:val="0031575D"/>
    <w:rsid w:val="00330481"/>
    <w:rsid w:val="00340980"/>
    <w:rsid w:val="00341241"/>
    <w:rsid w:val="00341CAF"/>
    <w:rsid w:val="00343FFB"/>
    <w:rsid w:val="003470C2"/>
    <w:rsid w:val="00347739"/>
    <w:rsid w:val="00351528"/>
    <w:rsid w:val="003579EF"/>
    <w:rsid w:val="0036518A"/>
    <w:rsid w:val="003810E9"/>
    <w:rsid w:val="00387AF6"/>
    <w:rsid w:val="003A0FAF"/>
    <w:rsid w:val="003A178B"/>
    <w:rsid w:val="003B5C76"/>
    <w:rsid w:val="003C7F3A"/>
    <w:rsid w:val="003E1247"/>
    <w:rsid w:val="003E3E33"/>
    <w:rsid w:val="003F02CB"/>
    <w:rsid w:val="003F1041"/>
    <w:rsid w:val="003F4393"/>
    <w:rsid w:val="003F7204"/>
    <w:rsid w:val="00411DF3"/>
    <w:rsid w:val="00413570"/>
    <w:rsid w:val="00416527"/>
    <w:rsid w:val="00442CAB"/>
    <w:rsid w:val="00454153"/>
    <w:rsid w:val="0046690D"/>
    <w:rsid w:val="00490F1A"/>
    <w:rsid w:val="00491D47"/>
    <w:rsid w:val="00493FBC"/>
    <w:rsid w:val="004B365B"/>
    <w:rsid w:val="004B69F2"/>
    <w:rsid w:val="004C0148"/>
    <w:rsid w:val="004C57FC"/>
    <w:rsid w:val="004C707F"/>
    <w:rsid w:val="004D0162"/>
    <w:rsid w:val="004E5D0D"/>
    <w:rsid w:val="004F0711"/>
    <w:rsid w:val="004F075F"/>
    <w:rsid w:val="004F4C21"/>
    <w:rsid w:val="0052400E"/>
    <w:rsid w:val="0053374E"/>
    <w:rsid w:val="00535860"/>
    <w:rsid w:val="0053655A"/>
    <w:rsid w:val="00540404"/>
    <w:rsid w:val="005537E5"/>
    <w:rsid w:val="005618CD"/>
    <w:rsid w:val="00561CBF"/>
    <w:rsid w:val="00591B6A"/>
    <w:rsid w:val="005934A5"/>
    <w:rsid w:val="005A03E4"/>
    <w:rsid w:val="005A0AA8"/>
    <w:rsid w:val="005A6773"/>
    <w:rsid w:val="005C1F21"/>
    <w:rsid w:val="005E51E0"/>
    <w:rsid w:val="005F13A1"/>
    <w:rsid w:val="005F1A2B"/>
    <w:rsid w:val="005F6B59"/>
    <w:rsid w:val="00606D30"/>
    <w:rsid w:val="0060786E"/>
    <w:rsid w:val="0061415C"/>
    <w:rsid w:val="00622EF0"/>
    <w:rsid w:val="00623C9A"/>
    <w:rsid w:val="006310EC"/>
    <w:rsid w:val="00635E82"/>
    <w:rsid w:val="00636DAA"/>
    <w:rsid w:val="006373E0"/>
    <w:rsid w:val="006538B1"/>
    <w:rsid w:val="006608E6"/>
    <w:rsid w:val="00693D56"/>
    <w:rsid w:val="006B274C"/>
    <w:rsid w:val="006C27B1"/>
    <w:rsid w:val="006D3FB1"/>
    <w:rsid w:val="006D7FE3"/>
    <w:rsid w:val="006F0115"/>
    <w:rsid w:val="006F3D70"/>
    <w:rsid w:val="006F6226"/>
    <w:rsid w:val="00700B9F"/>
    <w:rsid w:val="00720810"/>
    <w:rsid w:val="007232A5"/>
    <w:rsid w:val="007253BC"/>
    <w:rsid w:val="007264DF"/>
    <w:rsid w:val="00727D21"/>
    <w:rsid w:val="00730A20"/>
    <w:rsid w:val="00730E9B"/>
    <w:rsid w:val="0073383D"/>
    <w:rsid w:val="007345B7"/>
    <w:rsid w:val="007351DA"/>
    <w:rsid w:val="00753F25"/>
    <w:rsid w:val="00754A8C"/>
    <w:rsid w:val="00755A3A"/>
    <w:rsid w:val="007669BC"/>
    <w:rsid w:val="00772867"/>
    <w:rsid w:val="00777CB4"/>
    <w:rsid w:val="00784475"/>
    <w:rsid w:val="00785336"/>
    <w:rsid w:val="00785E94"/>
    <w:rsid w:val="007A3313"/>
    <w:rsid w:val="007B3FFD"/>
    <w:rsid w:val="007B60F0"/>
    <w:rsid w:val="007C6631"/>
    <w:rsid w:val="007E78F0"/>
    <w:rsid w:val="007F3E57"/>
    <w:rsid w:val="007F4131"/>
    <w:rsid w:val="007F49DC"/>
    <w:rsid w:val="007F639E"/>
    <w:rsid w:val="00822AC6"/>
    <w:rsid w:val="00823302"/>
    <w:rsid w:val="008479FA"/>
    <w:rsid w:val="00870165"/>
    <w:rsid w:val="00880550"/>
    <w:rsid w:val="00884CB2"/>
    <w:rsid w:val="0088746E"/>
    <w:rsid w:val="008914DB"/>
    <w:rsid w:val="00893040"/>
    <w:rsid w:val="00897062"/>
    <w:rsid w:val="008A60F2"/>
    <w:rsid w:val="008B22A5"/>
    <w:rsid w:val="008C4413"/>
    <w:rsid w:val="008D676A"/>
    <w:rsid w:val="008D6FFC"/>
    <w:rsid w:val="00902204"/>
    <w:rsid w:val="009024AF"/>
    <w:rsid w:val="00910106"/>
    <w:rsid w:val="00913EDD"/>
    <w:rsid w:val="009234EA"/>
    <w:rsid w:val="00926EF3"/>
    <w:rsid w:val="00943D68"/>
    <w:rsid w:val="009509E1"/>
    <w:rsid w:val="00955E08"/>
    <w:rsid w:val="009573BF"/>
    <w:rsid w:val="009647C2"/>
    <w:rsid w:val="00970ADD"/>
    <w:rsid w:val="009A742F"/>
    <w:rsid w:val="009B2C1B"/>
    <w:rsid w:val="009C04AF"/>
    <w:rsid w:val="009D44D5"/>
    <w:rsid w:val="009D5434"/>
    <w:rsid w:val="009D606F"/>
    <w:rsid w:val="009F15A3"/>
    <w:rsid w:val="009F33DC"/>
    <w:rsid w:val="00A035D5"/>
    <w:rsid w:val="00A25C0F"/>
    <w:rsid w:val="00A31B52"/>
    <w:rsid w:val="00A50BFD"/>
    <w:rsid w:val="00A64C69"/>
    <w:rsid w:val="00A67CA9"/>
    <w:rsid w:val="00A702B4"/>
    <w:rsid w:val="00AA6830"/>
    <w:rsid w:val="00AA6EE1"/>
    <w:rsid w:val="00AB0E65"/>
    <w:rsid w:val="00AB11E7"/>
    <w:rsid w:val="00AB4736"/>
    <w:rsid w:val="00AC74E1"/>
    <w:rsid w:val="00AD2CEF"/>
    <w:rsid w:val="00AE2073"/>
    <w:rsid w:val="00AE5C89"/>
    <w:rsid w:val="00AF15E6"/>
    <w:rsid w:val="00B012A1"/>
    <w:rsid w:val="00B10CB8"/>
    <w:rsid w:val="00B21D1D"/>
    <w:rsid w:val="00B310C4"/>
    <w:rsid w:val="00B32058"/>
    <w:rsid w:val="00B341D9"/>
    <w:rsid w:val="00B531A5"/>
    <w:rsid w:val="00B54572"/>
    <w:rsid w:val="00B615ED"/>
    <w:rsid w:val="00B7551C"/>
    <w:rsid w:val="00B82781"/>
    <w:rsid w:val="00B87129"/>
    <w:rsid w:val="00B97D4C"/>
    <w:rsid w:val="00BA435E"/>
    <w:rsid w:val="00BB65C2"/>
    <w:rsid w:val="00BC489B"/>
    <w:rsid w:val="00BE166B"/>
    <w:rsid w:val="00BF3F8D"/>
    <w:rsid w:val="00C016EB"/>
    <w:rsid w:val="00C109CA"/>
    <w:rsid w:val="00C37261"/>
    <w:rsid w:val="00C379C2"/>
    <w:rsid w:val="00C405D4"/>
    <w:rsid w:val="00C447BF"/>
    <w:rsid w:val="00C4752F"/>
    <w:rsid w:val="00C47549"/>
    <w:rsid w:val="00C524ED"/>
    <w:rsid w:val="00C52CA8"/>
    <w:rsid w:val="00C55E2C"/>
    <w:rsid w:val="00C63267"/>
    <w:rsid w:val="00C709A8"/>
    <w:rsid w:val="00C71FC6"/>
    <w:rsid w:val="00C74619"/>
    <w:rsid w:val="00C74AE2"/>
    <w:rsid w:val="00C83087"/>
    <w:rsid w:val="00C8528F"/>
    <w:rsid w:val="00C94BF7"/>
    <w:rsid w:val="00CA00AE"/>
    <w:rsid w:val="00CA6F53"/>
    <w:rsid w:val="00CB67C9"/>
    <w:rsid w:val="00CC56E4"/>
    <w:rsid w:val="00CC76F8"/>
    <w:rsid w:val="00CD3B01"/>
    <w:rsid w:val="00CD6038"/>
    <w:rsid w:val="00CE26C0"/>
    <w:rsid w:val="00CE76CA"/>
    <w:rsid w:val="00CF752B"/>
    <w:rsid w:val="00D13D92"/>
    <w:rsid w:val="00D17602"/>
    <w:rsid w:val="00D22B13"/>
    <w:rsid w:val="00D26FF0"/>
    <w:rsid w:val="00D41ECA"/>
    <w:rsid w:val="00D81DF6"/>
    <w:rsid w:val="00D91E28"/>
    <w:rsid w:val="00DA6882"/>
    <w:rsid w:val="00DB22FC"/>
    <w:rsid w:val="00DE0524"/>
    <w:rsid w:val="00DE13C1"/>
    <w:rsid w:val="00E0023D"/>
    <w:rsid w:val="00E0237A"/>
    <w:rsid w:val="00E0465F"/>
    <w:rsid w:val="00E10E23"/>
    <w:rsid w:val="00E13C26"/>
    <w:rsid w:val="00E13E6C"/>
    <w:rsid w:val="00E152D8"/>
    <w:rsid w:val="00E4351C"/>
    <w:rsid w:val="00E447C4"/>
    <w:rsid w:val="00E57B0F"/>
    <w:rsid w:val="00E66553"/>
    <w:rsid w:val="00E73A2F"/>
    <w:rsid w:val="00E811D1"/>
    <w:rsid w:val="00E95094"/>
    <w:rsid w:val="00EA1F5E"/>
    <w:rsid w:val="00EA3B1D"/>
    <w:rsid w:val="00EB0C4B"/>
    <w:rsid w:val="00EB3B7F"/>
    <w:rsid w:val="00EB5828"/>
    <w:rsid w:val="00EB6008"/>
    <w:rsid w:val="00EB7C32"/>
    <w:rsid w:val="00ED1E08"/>
    <w:rsid w:val="00ED6881"/>
    <w:rsid w:val="00EE4B3C"/>
    <w:rsid w:val="00EF2CA6"/>
    <w:rsid w:val="00EF58FC"/>
    <w:rsid w:val="00F108F7"/>
    <w:rsid w:val="00F10E9E"/>
    <w:rsid w:val="00F17677"/>
    <w:rsid w:val="00F30E7D"/>
    <w:rsid w:val="00F413A1"/>
    <w:rsid w:val="00F424DC"/>
    <w:rsid w:val="00F61C1C"/>
    <w:rsid w:val="00F6764E"/>
    <w:rsid w:val="00F7640D"/>
    <w:rsid w:val="00F85F51"/>
    <w:rsid w:val="00F8799F"/>
    <w:rsid w:val="00F91C33"/>
    <w:rsid w:val="00FA3D3A"/>
    <w:rsid w:val="00FB5293"/>
    <w:rsid w:val="00FB7627"/>
    <w:rsid w:val="00FC0F0F"/>
    <w:rsid w:val="00FC1ABA"/>
    <w:rsid w:val="00FD102B"/>
    <w:rsid w:val="00FE49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9E7B97"/>
  <w15:docId w15:val="{C9015E16-376A-4F23-9D1A-A56B6B51A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351DA"/>
    <w:rPr>
      <w:sz w:val="24"/>
      <w:lang w:val="en-US" w:eastAsia="en-US"/>
    </w:rPr>
  </w:style>
  <w:style w:type="paragraph" w:styleId="Heading1">
    <w:name w:val="heading 1"/>
    <w:basedOn w:val="Normal"/>
    <w:next w:val="Normal"/>
    <w:link w:val="Heading1Char"/>
    <w:uiPriority w:val="9"/>
    <w:qFormat/>
    <w:rsid w:val="00F7640D"/>
    <w:pPr>
      <w:keepNext/>
      <w:keepLines/>
      <w:spacing w:before="120"/>
      <w:jc w:val="center"/>
      <w:outlineLvl w:val="0"/>
    </w:pPr>
    <w:rPr>
      <w:rFonts w:ascii="Arial" w:eastAsiaTheme="majorEastAsia" w:hAnsi="Arial" w:cstheme="majorBidi"/>
      <w:b/>
      <w:caps/>
      <w:color w:val="000000" w:themeColor="text1"/>
      <w:sz w:val="28"/>
      <w:szCs w:val="32"/>
      <w:lang w:val="en-GB"/>
    </w:rPr>
  </w:style>
  <w:style w:type="paragraph" w:styleId="Heading2">
    <w:name w:val="heading 2"/>
    <w:basedOn w:val="Normal"/>
    <w:next w:val="Normal"/>
    <w:link w:val="Heading2Char"/>
    <w:uiPriority w:val="9"/>
    <w:unhideWhenUsed/>
    <w:qFormat/>
    <w:rsid w:val="00F7640D"/>
    <w:pPr>
      <w:keepNext/>
      <w:keepLines/>
      <w:jc w:val="center"/>
      <w:outlineLvl w:val="1"/>
    </w:pPr>
    <w:rPr>
      <w:rFonts w:ascii="Arial" w:eastAsiaTheme="majorEastAsia" w:hAnsi="Arial" w:cstheme="majorBidi"/>
      <w:b/>
      <w:color w:val="000000" w:themeColor="text1"/>
      <w:szCs w:val="26"/>
    </w:rPr>
  </w:style>
  <w:style w:type="paragraph" w:styleId="Heading3">
    <w:name w:val="heading 3"/>
    <w:basedOn w:val="Normal"/>
    <w:next w:val="Normal"/>
    <w:link w:val="Heading3Char"/>
    <w:uiPriority w:val="9"/>
    <w:unhideWhenUsed/>
    <w:qFormat/>
    <w:rsid w:val="00F7640D"/>
    <w:pPr>
      <w:keepNext/>
      <w:keepLines/>
      <w:spacing w:before="40"/>
      <w:outlineLvl w:val="2"/>
    </w:pPr>
    <w:rPr>
      <w:rFonts w:ascii="Arial" w:eastAsiaTheme="majorEastAsia" w:hAnsi="Arial" w:cstheme="majorBidi"/>
      <w:b/>
      <w:color w:val="000000" w:themeColor="text1"/>
      <w:szCs w:val="24"/>
    </w:rPr>
  </w:style>
  <w:style w:type="paragraph" w:styleId="Heading4">
    <w:name w:val="heading 4"/>
    <w:basedOn w:val="Normal"/>
    <w:next w:val="Normal"/>
    <w:link w:val="Heading4Char"/>
    <w:uiPriority w:val="9"/>
    <w:unhideWhenUsed/>
    <w:qFormat/>
    <w:rsid w:val="00F7640D"/>
    <w:pPr>
      <w:keepNext/>
      <w:keepLines/>
      <w:spacing w:before="40"/>
      <w:outlineLvl w:val="3"/>
    </w:pPr>
    <w:rPr>
      <w:rFonts w:ascii="Arial" w:eastAsiaTheme="majorEastAsia" w:hAnsi="Arial" w:cstheme="majorBidi"/>
      <w:iCs/>
      <w:color w:val="000000" w:themeColor="text1"/>
      <w:u w:val="single"/>
    </w:rPr>
  </w:style>
  <w:style w:type="paragraph" w:styleId="Heading5">
    <w:name w:val="heading 5"/>
    <w:basedOn w:val="Normal"/>
    <w:next w:val="Normal"/>
    <w:link w:val="Heading5Char"/>
    <w:uiPriority w:val="9"/>
    <w:unhideWhenUsed/>
    <w:qFormat/>
    <w:rsid w:val="00F7640D"/>
    <w:pPr>
      <w:keepNext/>
      <w:keepLines/>
      <w:spacing w:before="40"/>
      <w:outlineLvl w:val="4"/>
    </w:pPr>
    <w:rPr>
      <w:rFonts w:ascii="Arial" w:eastAsiaTheme="majorEastAsia" w:hAnsi="Arial" w:cstheme="majorBidi"/>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7720"/>
    <w:rPr>
      <w:color w:val="0000FF" w:themeColor="hyperlink"/>
      <w:u w:val="single"/>
    </w:rPr>
  </w:style>
  <w:style w:type="paragraph" w:customStyle="1" w:styleId="Legal1">
    <w:name w:val="Legal 1"/>
    <w:basedOn w:val="Normal"/>
    <w:rsid w:val="009509E1"/>
    <w:pPr>
      <w:widowControl w:val="0"/>
    </w:pPr>
  </w:style>
  <w:style w:type="paragraph" w:customStyle="1" w:styleId="Legal2">
    <w:name w:val="Legal 2"/>
    <w:basedOn w:val="Normal"/>
    <w:rsid w:val="009509E1"/>
    <w:pPr>
      <w:widowControl w:val="0"/>
    </w:pPr>
  </w:style>
  <w:style w:type="paragraph" w:customStyle="1" w:styleId="Legal3">
    <w:name w:val="Legal 3"/>
    <w:basedOn w:val="Normal"/>
    <w:rsid w:val="009509E1"/>
    <w:pPr>
      <w:widowControl w:val="0"/>
    </w:pPr>
  </w:style>
  <w:style w:type="paragraph" w:customStyle="1" w:styleId="Legal4">
    <w:name w:val="Legal 4"/>
    <w:basedOn w:val="Normal"/>
    <w:rsid w:val="009509E1"/>
    <w:pPr>
      <w:widowControl w:val="0"/>
    </w:pPr>
  </w:style>
  <w:style w:type="paragraph" w:customStyle="1" w:styleId="Legal5">
    <w:name w:val="Legal 5"/>
    <w:basedOn w:val="Normal"/>
    <w:rsid w:val="009509E1"/>
    <w:pPr>
      <w:widowControl w:val="0"/>
    </w:pPr>
  </w:style>
  <w:style w:type="paragraph" w:customStyle="1" w:styleId="Legal6">
    <w:name w:val="Legal 6"/>
    <w:basedOn w:val="Normal"/>
    <w:rsid w:val="009509E1"/>
    <w:pPr>
      <w:widowControl w:val="0"/>
    </w:pPr>
  </w:style>
  <w:style w:type="paragraph" w:customStyle="1" w:styleId="Legal7">
    <w:name w:val="Legal 7"/>
    <w:basedOn w:val="Normal"/>
    <w:rsid w:val="009509E1"/>
    <w:pPr>
      <w:widowControl w:val="0"/>
    </w:pPr>
  </w:style>
  <w:style w:type="paragraph" w:customStyle="1" w:styleId="Legal8">
    <w:name w:val="Legal 8"/>
    <w:basedOn w:val="Normal"/>
    <w:rsid w:val="009509E1"/>
    <w:pPr>
      <w:widowControl w:val="0"/>
    </w:pPr>
  </w:style>
  <w:style w:type="paragraph" w:customStyle="1" w:styleId="Legal9">
    <w:name w:val="Legal 9"/>
    <w:basedOn w:val="Normal"/>
    <w:rsid w:val="009509E1"/>
    <w:pPr>
      <w:widowControl w:val="0"/>
    </w:pPr>
  </w:style>
  <w:style w:type="paragraph" w:styleId="FootnoteText">
    <w:name w:val="footnote text"/>
    <w:basedOn w:val="Normal"/>
    <w:semiHidden/>
    <w:rsid w:val="009509E1"/>
    <w:pPr>
      <w:tabs>
        <w:tab w:val="left" w:pos="0"/>
        <w:tab w:val="left" w:pos="566"/>
        <w:tab w:val="left" w:pos="1134"/>
        <w:tab w:val="left" w:pos="1700"/>
        <w:tab w:val="left" w:pos="2267"/>
        <w:tab w:val="left" w:pos="2834"/>
        <w:tab w:val="left" w:pos="3401"/>
        <w:tab w:val="left" w:pos="3967"/>
        <w:tab w:val="left" w:pos="4535"/>
        <w:tab w:val="left" w:pos="5101"/>
        <w:tab w:val="left" w:pos="5668"/>
        <w:tab w:val="left" w:pos="6235"/>
        <w:tab w:val="left" w:pos="6802"/>
        <w:tab w:val="left" w:pos="7368"/>
        <w:tab w:val="left" w:pos="7936"/>
        <w:tab w:val="left" w:pos="8502"/>
        <w:tab w:val="left" w:pos="9068"/>
        <w:tab w:val="left" w:pos="9636"/>
        <w:tab w:val="left" w:pos="10202"/>
      </w:tabs>
      <w:jc w:val="both"/>
    </w:pPr>
  </w:style>
  <w:style w:type="character" w:styleId="FootnoteReference">
    <w:name w:val="footnote reference"/>
    <w:basedOn w:val="DefaultParagraphFont"/>
    <w:semiHidden/>
    <w:rsid w:val="009509E1"/>
    <w:rPr>
      <w:vertAlign w:val="superscript"/>
    </w:rPr>
  </w:style>
  <w:style w:type="character" w:styleId="EndnoteReference">
    <w:name w:val="endnote reference"/>
    <w:basedOn w:val="DefaultParagraphFont"/>
    <w:semiHidden/>
    <w:rsid w:val="009509E1"/>
  </w:style>
  <w:style w:type="paragraph" w:styleId="EndnoteText">
    <w:name w:val="endnote text"/>
    <w:basedOn w:val="Normal"/>
    <w:link w:val="EndnoteTextChar"/>
    <w:semiHidden/>
    <w:rsid w:val="009509E1"/>
    <w:pPr>
      <w:numPr>
        <w:numId w:val="2"/>
      </w:numPr>
      <w:jc w:val="both"/>
    </w:pPr>
    <w:rPr>
      <w:rFonts w:ascii="Garamond" w:hAnsi="Garamond"/>
      <w:sz w:val="20"/>
      <w:lang w:val="en-GB"/>
    </w:rPr>
  </w:style>
  <w:style w:type="character" w:customStyle="1" w:styleId="SYSHYPERTEXT">
    <w:name w:val="SYS_HYPERTEXT"/>
    <w:basedOn w:val="DefaultParagraphFont"/>
    <w:rsid w:val="009509E1"/>
    <w:rPr>
      <w:color w:val="0000FF"/>
      <w:u w:val="single"/>
    </w:rPr>
  </w:style>
  <w:style w:type="character" w:customStyle="1" w:styleId="EndnoteTextChar">
    <w:name w:val="Endnote Text Char"/>
    <w:basedOn w:val="DefaultParagraphFont"/>
    <w:link w:val="EndnoteText"/>
    <w:semiHidden/>
    <w:rsid w:val="00157720"/>
    <w:rPr>
      <w:rFonts w:ascii="Garamond" w:hAnsi="Garamond"/>
      <w:lang w:val="en-GB" w:eastAsia="en-US"/>
    </w:rPr>
  </w:style>
  <w:style w:type="paragraph" w:styleId="BalloonText">
    <w:name w:val="Balloon Text"/>
    <w:basedOn w:val="Normal"/>
    <w:link w:val="BalloonTextChar"/>
    <w:uiPriority w:val="99"/>
    <w:semiHidden/>
    <w:unhideWhenUsed/>
    <w:rsid w:val="00157720"/>
    <w:rPr>
      <w:rFonts w:ascii="Tahoma" w:hAnsi="Tahoma" w:cs="Tahoma"/>
      <w:sz w:val="16"/>
      <w:szCs w:val="16"/>
    </w:rPr>
  </w:style>
  <w:style w:type="character" w:customStyle="1" w:styleId="BalloonTextChar">
    <w:name w:val="Balloon Text Char"/>
    <w:basedOn w:val="DefaultParagraphFont"/>
    <w:link w:val="BalloonText"/>
    <w:uiPriority w:val="99"/>
    <w:semiHidden/>
    <w:rsid w:val="00157720"/>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351528"/>
    <w:rPr>
      <w:sz w:val="16"/>
      <w:szCs w:val="16"/>
    </w:rPr>
  </w:style>
  <w:style w:type="paragraph" w:styleId="CommentText">
    <w:name w:val="annotation text"/>
    <w:basedOn w:val="Normal"/>
    <w:link w:val="CommentTextChar"/>
    <w:uiPriority w:val="99"/>
    <w:unhideWhenUsed/>
    <w:rsid w:val="00351528"/>
    <w:rPr>
      <w:sz w:val="20"/>
    </w:rPr>
  </w:style>
  <w:style w:type="character" w:customStyle="1" w:styleId="CommentTextChar">
    <w:name w:val="Comment Text Char"/>
    <w:basedOn w:val="DefaultParagraphFont"/>
    <w:link w:val="CommentText"/>
    <w:uiPriority w:val="99"/>
    <w:rsid w:val="00351528"/>
    <w:rPr>
      <w:lang w:val="en-US" w:eastAsia="en-US"/>
    </w:rPr>
  </w:style>
  <w:style w:type="paragraph" w:styleId="CommentSubject">
    <w:name w:val="annotation subject"/>
    <w:basedOn w:val="CommentText"/>
    <w:next w:val="CommentText"/>
    <w:link w:val="CommentSubjectChar"/>
    <w:uiPriority w:val="99"/>
    <w:semiHidden/>
    <w:unhideWhenUsed/>
    <w:rsid w:val="00351528"/>
    <w:rPr>
      <w:b/>
      <w:bCs/>
    </w:rPr>
  </w:style>
  <w:style w:type="character" w:customStyle="1" w:styleId="CommentSubjectChar">
    <w:name w:val="Comment Subject Char"/>
    <w:basedOn w:val="CommentTextChar"/>
    <w:link w:val="CommentSubject"/>
    <w:uiPriority w:val="99"/>
    <w:semiHidden/>
    <w:rsid w:val="00351528"/>
    <w:rPr>
      <w:b/>
      <w:bCs/>
      <w:lang w:val="en-US" w:eastAsia="en-US"/>
    </w:rPr>
  </w:style>
  <w:style w:type="paragraph" w:customStyle="1" w:styleId="EndNoteBibliographyTitle">
    <w:name w:val="EndNote Bibliography Title"/>
    <w:basedOn w:val="Normal"/>
    <w:rsid w:val="001D1CBD"/>
    <w:pPr>
      <w:jc w:val="center"/>
    </w:pPr>
  </w:style>
  <w:style w:type="paragraph" w:customStyle="1" w:styleId="EndNoteBibliography">
    <w:name w:val="EndNote Bibliography"/>
    <w:basedOn w:val="Normal"/>
    <w:rsid w:val="001D1CBD"/>
    <w:pPr>
      <w:jc w:val="both"/>
    </w:pPr>
  </w:style>
  <w:style w:type="paragraph" w:styleId="ListParagraph">
    <w:name w:val="List Paragraph"/>
    <w:basedOn w:val="Normal"/>
    <w:uiPriority w:val="34"/>
    <w:qFormat/>
    <w:rsid w:val="00E57B0F"/>
    <w:pPr>
      <w:ind w:left="720"/>
      <w:contextualSpacing/>
    </w:pPr>
  </w:style>
  <w:style w:type="paragraph" w:styleId="Caption">
    <w:name w:val="caption"/>
    <w:basedOn w:val="Normal"/>
    <w:next w:val="Normal"/>
    <w:uiPriority w:val="35"/>
    <w:unhideWhenUsed/>
    <w:qFormat/>
    <w:rsid w:val="00F7640D"/>
    <w:pPr>
      <w:spacing w:after="200"/>
      <w:jc w:val="center"/>
    </w:pPr>
    <w:rPr>
      <w:rFonts w:ascii="Arial" w:hAnsi="Arial" w:cs="Arial"/>
      <w:bCs/>
      <w:color w:val="000000"/>
      <w:sz w:val="20"/>
      <w:szCs w:val="28"/>
    </w:rPr>
  </w:style>
  <w:style w:type="paragraph" w:styleId="Header">
    <w:name w:val="header"/>
    <w:basedOn w:val="Normal"/>
    <w:link w:val="HeaderChar"/>
    <w:uiPriority w:val="99"/>
    <w:unhideWhenUsed/>
    <w:rsid w:val="00AB4736"/>
    <w:pPr>
      <w:tabs>
        <w:tab w:val="center" w:pos="4680"/>
        <w:tab w:val="right" w:pos="9360"/>
      </w:tabs>
    </w:pPr>
  </w:style>
  <w:style w:type="character" w:customStyle="1" w:styleId="HeaderChar">
    <w:name w:val="Header Char"/>
    <w:basedOn w:val="DefaultParagraphFont"/>
    <w:link w:val="Header"/>
    <w:uiPriority w:val="99"/>
    <w:rsid w:val="00AB4736"/>
    <w:rPr>
      <w:sz w:val="24"/>
      <w:lang w:val="en-US" w:eastAsia="en-US"/>
    </w:rPr>
  </w:style>
  <w:style w:type="paragraph" w:styleId="Footer">
    <w:name w:val="footer"/>
    <w:basedOn w:val="Normal"/>
    <w:link w:val="FooterChar"/>
    <w:uiPriority w:val="99"/>
    <w:unhideWhenUsed/>
    <w:rsid w:val="00AB4736"/>
    <w:pPr>
      <w:tabs>
        <w:tab w:val="center" w:pos="4680"/>
        <w:tab w:val="right" w:pos="9360"/>
      </w:tabs>
    </w:pPr>
  </w:style>
  <w:style w:type="character" w:customStyle="1" w:styleId="FooterChar">
    <w:name w:val="Footer Char"/>
    <w:basedOn w:val="DefaultParagraphFont"/>
    <w:link w:val="Footer"/>
    <w:uiPriority w:val="99"/>
    <w:rsid w:val="00AB4736"/>
    <w:rPr>
      <w:sz w:val="24"/>
      <w:lang w:val="en-US" w:eastAsia="en-US"/>
    </w:rPr>
  </w:style>
  <w:style w:type="character" w:styleId="PageNumber">
    <w:name w:val="page number"/>
    <w:basedOn w:val="DefaultParagraphFont"/>
    <w:uiPriority w:val="99"/>
    <w:semiHidden/>
    <w:unhideWhenUsed/>
    <w:rsid w:val="007351DA"/>
  </w:style>
  <w:style w:type="character" w:customStyle="1" w:styleId="Heading1Char">
    <w:name w:val="Heading 1 Char"/>
    <w:basedOn w:val="DefaultParagraphFont"/>
    <w:link w:val="Heading1"/>
    <w:uiPriority w:val="9"/>
    <w:rsid w:val="00F7640D"/>
    <w:rPr>
      <w:rFonts w:ascii="Arial" w:eastAsiaTheme="majorEastAsia" w:hAnsi="Arial" w:cstheme="majorBidi"/>
      <w:b/>
      <w:caps/>
      <w:color w:val="000000" w:themeColor="text1"/>
      <w:sz w:val="28"/>
      <w:szCs w:val="32"/>
      <w:lang w:val="en-GB" w:eastAsia="en-US"/>
    </w:rPr>
  </w:style>
  <w:style w:type="character" w:customStyle="1" w:styleId="Heading2Char">
    <w:name w:val="Heading 2 Char"/>
    <w:basedOn w:val="DefaultParagraphFont"/>
    <w:link w:val="Heading2"/>
    <w:uiPriority w:val="9"/>
    <w:rsid w:val="00F7640D"/>
    <w:rPr>
      <w:rFonts w:ascii="Arial" w:eastAsiaTheme="majorEastAsia" w:hAnsi="Arial" w:cstheme="majorBidi"/>
      <w:b/>
      <w:color w:val="000000" w:themeColor="text1"/>
      <w:sz w:val="24"/>
      <w:szCs w:val="26"/>
      <w:lang w:val="en-US" w:eastAsia="en-US"/>
    </w:rPr>
  </w:style>
  <w:style w:type="character" w:customStyle="1" w:styleId="Heading3Char">
    <w:name w:val="Heading 3 Char"/>
    <w:basedOn w:val="DefaultParagraphFont"/>
    <w:link w:val="Heading3"/>
    <w:uiPriority w:val="9"/>
    <w:rsid w:val="00F7640D"/>
    <w:rPr>
      <w:rFonts w:ascii="Arial" w:eastAsiaTheme="majorEastAsia" w:hAnsi="Arial" w:cstheme="majorBidi"/>
      <w:b/>
      <w:color w:val="000000" w:themeColor="text1"/>
      <w:sz w:val="24"/>
      <w:szCs w:val="24"/>
      <w:lang w:val="en-US" w:eastAsia="en-US"/>
    </w:rPr>
  </w:style>
  <w:style w:type="character" w:customStyle="1" w:styleId="Heading4Char">
    <w:name w:val="Heading 4 Char"/>
    <w:basedOn w:val="DefaultParagraphFont"/>
    <w:link w:val="Heading4"/>
    <w:uiPriority w:val="9"/>
    <w:rsid w:val="00F7640D"/>
    <w:rPr>
      <w:rFonts w:ascii="Arial" w:eastAsiaTheme="majorEastAsia" w:hAnsi="Arial" w:cstheme="majorBidi"/>
      <w:iCs/>
      <w:color w:val="000000" w:themeColor="text1"/>
      <w:sz w:val="24"/>
      <w:u w:val="single"/>
      <w:lang w:val="en-US" w:eastAsia="en-US"/>
    </w:rPr>
  </w:style>
  <w:style w:type="character" w:customStyle="1" w:styleId="Heading5Char">
    <w:name w:val="Heading 5 Char"/>
    <w:basedOn w:val="DefaultParagraphFont"/>
    <w:link w:val="Heading5"/>
    <w:uiPriority w:val="9"/>
    <w:rsid w:val="00F7640D"/>
    <w:rPr>
      <w:rFonts w:ascii="Arial" w:eastAsiaTheme="majorEastAsia" w:hAnsi="Arial" w:cstheme="majorBidi"/>
      <w:i/>
      <w:color w:val="000000" w:themeColor="text1"/>
      <w:sz w:val="24"/>
      <w:lang w:val="en-US" w:eastAsia="en-US"/>
    </w:rPr>
  </w:style>
  <w:style w:type="character" w:styleId="UnresolvedMention">
    <w:name w:val="Unresolved Mention"/>
    <w:basedOn w:val="DefaultParagraphFont"/>
    <w:uiPriority w:val="99"/>
    <w:rsid w:val="002647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253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mailto:kelly@insight-rn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e1e3cd25-ca12-4c2a-a46c-86c0c8d9e68c" xsi:nil="true"/>
    <lcf76f155ced4ddcb4097134ff3c332f xmlns="53317c2e-0584-4051-9ff4-5a7b74682d3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2551B9245DB074BB7DAB77949C7C8F6" ma:contentTypeVersion="16" ma:contentTypeDescription="Create a new document." ma:contentTypeScope="" ma:versionID="a444e3632b9a757ebfc454399844379e">
  <xsd:schema xmlns:xsd="http://www.w3.org/2001/XMLSchema" xmlns:xs="http://www.w3.org/2001/XMLSchema" xmlns:p="http://schemas.microsoft.com/office/2006/metadata/properties" xmlns:ns2="53317c2e-0584-4051-9ff4-5a7b74682d38" xmlns:ns3="e1e3cd25-ca12-4c2a-a46c-86c0c8d9e68c" targetNamespace="http://schemas.microsoft.com/office/2006/metadata/properties" ma:root="true" ma:fieldsID="4aa2061981d2aa53737fcd8bcd7f97b4" ns2:_="" ns3:_="">
    <xsd:import namespace="53317c2e-0584-4051-9ff4-5a7b74682d38"/>
    <xsd:import namespace="e1e3cd25-ca12-4c2a-a46c-86c0c8d9e68c"/>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17c2e-0584-4051-9ff4-5a7b74682d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10e113e-585d-47b6-96a5-48fe4a4ac534"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e3cd25-ca12-4c2a-a46c-86c0c8d9e68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76d184e-c885-4a84-ad0c-5a213acaeb8a}" ma:internalName="TaxCatchAll" ma:showField="CatchAllData" ma:web="e1e3cd25-ca12-4c2a-a46c-86c0c8d9e68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C99E28-507A-472B-939C-C2CD1465D1BE}">
  <ds:schemaRefs>
    <ds:schemaRef ds:uri="http://schemas.microsoft.com/sharepoint/v3/contenttype/forms"/>
  </ds:schemaRefs>
</ds:datastoreItem>
</file>

<file path=customXml/itemProps2.xml><?xml version="1.0" encoding="utf-8"?>
<ds:datastoreItem xmlns:ds="http://schemas.openxmlformats.org/officeDocument/2006/customXml" ds:itemID="{256AD2C4-2379-C941-AFCD-5666BF374878}">
  <ds:schemaRefs>
    <ds:schemaRef ds:uri="http://schemas.openxmlformats.org/officeDocument/2006/bibliography"/>
  </ds:schemaRefs>
</ds:datastoreItem>
</file>

<file path=customXml/itemProps3.xml><?xml version="1.0" encoding="utf-8"?>
<ds:datastoreItem xmlns:ds="http://schemas.openxmlformats.org/officeDocument/2006/customXml" ds:itemID="{F7D8A3E0-0135-415E-B181-2582D5410E5A}">
  <ds:schemaRefs>
    <ds:schemaRef ds:uri="http://schemas.microsoft.com/office/2006/metadata/properties"/>
    <ds:schemaRef ds:uri="http://schemas.microsoft.com/office/infopath/2007/PartnerControls"/>
    <ds:schemaRef ds:uri="e1e3cd25-ca12-4c2a-a46c-86c0c8d9e68c"/>
    <ds:schemaRef ds:uri="53317c2e-0584-4051-9ff4-5a7b74682d38"/>
  </ds:schemaRefs>
</ds:datastoreItem>
</file>

<file path=customXml/itemProps4.xml><?xml version="1.0" encoding="utf-8"?>
<ds:datastoreItem xmlns:ds="http://schemas.openxmlformats.org/officeDocument/2006/customXml" ds:itemID="{526BDDE9-31C8-4FEC-8F49-2625C5569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317c2e-0584-4051-9ff4-5a7b74682d38"/>
    <ds:schemaRef ds:uri="e1e3cd25-ca12-4c2a-a46c-86c0c8d9e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7051</TotalTime>
  <Pages>1</Pages>
  <Words>1053</Words>
  <Characters>6510</Characters>
  <Application>Microsoft Office Word</Application>
  <DocSecurity>4</DocSecurity>
  <Lines>171</Lines>
  <Paragraphs>151</Paragraphs>
  <ScaleCrop>false</ScaleCrop>
  <HeadingPairs>
    <vt:vector size="2" baseType="variant">
      <vt:variant>
        <vt:lpstr>Title</vt:lpstr>
      </vt:variant>
      <vt:variant>
        <vt:i4>1</vt:i4>
      </vt:variant>
    </vt:vector>
  </HeadingPairs>
  <TitlesOfParts>
    <vt:vector size="1" baseType="lpstr">
      <vt:lpstr/>
    </vt:vector>
  </TitlesOfParts>
  <Company>NGU</Company>
  <LinksUpToDate>false</LinksUpToDate>
  <CharactersWithSpaces>7412</CharactersWithSpaces>
  <SharedDoc>false</SharedDoc>
  <HLinks>
    <vt:vector size="6" baseType="variant">
      <vt:variant>
        <vt:i4>852078</vt:i4>
      </vt:variant>
      <vt:variant>
        <vt:i4>8</vt:i4>
      </vt:variant>
      <vt:variant>
        <vt:i4>0</vt:i4>
      </vt:variant>
      <vt:variant>
        <vt:i4>5</vt:i4>
      </vt:variant>
      <vt:variant>
        <vt:lpwstr>mailto:kelly@insight-rnd.com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furnas</dc:creator>
  <cp:keywords/>
  <cp:lastModifiedBy>Kelly Lau</cp:lastModifiedBy>
  <cp:revision>104</cp:revision>
  <cp:lastPrinted>2015-06-10T00:26:00Z</cp:lastPrinted>
  <dcterms:created xsi:type="dcterms:W3CDTF">2026-02-27T18:57:00Z</dcterms:created>
  <dcterms:modified xsi:type="dcterms:W3CDTF">2026-03-04T21:31:00Z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0x01010002551B9245DB074BB7DAB77949C7C8F6</vt:lpwstr>
  </property>
  <property fmtid="{D5CDD505-2E9C-101B-9397-08002B2CF9AE}" pid="3" name="MediaServiceImageTags">
    <vt:lpwstr/>
  </property>
</Properties>
</file>